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9E" w:rsidRPr="00427B88" w:rsidRDefault="002F509E" w:rsidP="002F509E">
      <w:pPr>
        <w:pBdr>
          <w:top w:val="single" w:sz="4" w:space="1" w:color="auto"/>
          <w:left w:val="single" w:sz="4" w:space="4" w:color="auto"/>
          <w:bottom w:val="single" w:sz="4" w:space="1" w:color="auto"/>
          <w:right w:val="single" w:sz="4" w:space="4" w:color="auto"/>
        </w:pBdr>
        <w:jc w:val="center"/>
        <w:rPr>
          <w:rFonts w:ascii="Tahoma" w:hAnsi="Tahoma" w:cs="Tahoma"/>
          <w:b/>
        </w:rPr>
      </w:pPr>
      <w:r w:rsidRPr="00427B88">
        <w:rPr>
          <w:rFonts w:ascii="Tahoma" w:hAnsi="Tahoma" w:cs="Tahoma"/>
          <w:b/>
        </w:rPr>
        <w:t xml:space="preserve">CONTRAT CADRE DE </w:t>
      </w:r>
      <w:r w:rsidR="002E3D31">
        <w:rPr>
          <w:rFonts w:ascii="Tahoma" w:hAnsi="Tahoma" w:cs="Tahoma"/>
          <w:b/>
        </w:rPr>
        <w:t xml:space="preserve">FINANCEMENT SUR </w:t>
      </w:r>
      <w:r w:rsidRPr="00427B88">
        <w:rPr>
          <w:rFonts w:ascii="Tahoma" w:hAnsi="Tahoma" w:cs="Tahoma"/>
          <w:b/>
        </w:rPr>
        <w:t>LA</w:t>
      </w:r>
      <w:r w:rsidR="002E3D31">
        <w:rPr>
          <w:rFonts w:ascii="Tahoma" w:hAnsi="Tahoma" w:cs="Tahoma"/>
          <w:b/>
        </w:rPr>
        <w:t xml:space="preserve"> BASE DES</w:t>
      </w:r>
      <w:r w:rsidRPr="00427B88">
        <w:rPr>
          <w:rFonts w:ascii="Tahoma" w:hAnsi="Tahoma" w:cs="Tahoma"/>
          <w:b/>
        </w:rPr>
        <w:t xml:space="preserve"> PERFORMANCE DES </w:t>
      </w:r>
      <w:r w:rsidR="002E3D31">
        <w:rPr>
          <w:rFonts w:ascii="Tahoma" w:hAnsi="Tahoma" w:cs="Tahoma"/>
          <w:b/>
        </w:rPr>
        <w:t xml:space="preserve">SERVICES CENTRAUX </w:t>
      </w:r>
      <w:r w:rsidRPr="00427B88">
        <w:rPr>
          <w:rFonts w:ascii="Tahoma" w:hAnsi="Tahoma" w:cs="Tahoma"/>
          <w:b/>
        </w:rPr>
        <w:t xml:space="preserve">DU MINISTERE DE LA SANTE </w:t>
      </w:r>
      <w:r w:rsidR="002E3D31">
        <w:rPr>
          <w:rFonts w:ascii="Tahoma" w:hAnsi="Tahoma" w:cs="Tahoma"/>
          <w:b/>
        </w:rPr>
        <w:t xml:space="preserve">PUBLIQUE ET DE LA LUTTE CONTRE LE SIDA </w:t>
      </w:r>
      <w:r w:rsidRPr="00427B88">
        <w:rPr>
          <w:rFonts w:ascii="Tahoma" w:hAnsi="Tahoma" w:cs="Tahoma"/>
          <w:b/>
        </w:rPr>
        <w:t>DU BURUNDI</w:t>
      </w:r>
      <w:bookmarkStart w:id="0" w:name="_GoBack"/>
      <w:bookmarkEnd w:id="0"/>
    </w:p>
    <w:p w:rsidR="002F509E" w:rsidRPr="00427B88" w:rsidRDefault="002F509E" w:rsidP="002F509E">
      <w:pPr>
        <w:rPr>
          <w:rFonts w:ascii="Tahoma" w:hAnsi="Tahoma" w:cs="Tahoma"/>
        </w:rPr>
      </w:pPr>
    </w:p>
    <w:p w:rsidR="002F509E" w:rsidRPr="00427B88" w:rsidRDefault="002F509E" w:rsidP="00AA34A1">
      <w:pPr>
        <w:pStyle w:val="Titre2"/>
      </w:pPr>
      <w:r w:rsidRPr="00427B88">
        <w:t>Préambule</w:t>
      </w:r>
    </w:p>
    <w:p w:rsidR="00FE0E3F" w:rsidRPr="00F00517" w:rsidRDefault="00FE0E3F" w:rsidP="0049404D">
      <w:r w:rsidRPr="00F00517">
        <w:t>Vu la déclaration de consensus du Cadre de Partenariat entre le Gouvernement du Burundi et les Partenaires techniques et financiers du secteur de la santé signé</w:t>
      </w:r>
      <w:r w:rsidR="00891D2C">
        <w:t>e</w:t>
      </w:r>
      <w:r w:rsidRPr="00F00517">
        <w:t xml:space="preserve"> en date du 22 février 2008 ;</w:t>
      </w:r>
    </w:p>
    <w:p w:rsidR="00FE0E3F" w:rsidRPr="00F00517" w:rsidRDefault="00FE0E3F" w:rsidP="0049404D">
      <w:r w:rsidRPr="00F00517">
        <w:t>Vu l’Ordonnance Ministérielle N° 630/1082 du 11 août 2009 portant mise en pl</w:t>
      </w:r>
      <w:r w:rsidR="00891D2C">
        <w:t>ace des organes du Financement Basé sur la P</w:t>
      </w:r>
      <w:r w:rsidRPr="00F00517">
        <w:t>erformance  et la gratuité des soins;</w:t>
      </w:r>
    </w:p>
    <w:p w:rsidR="00FE0E3F" w:rsidRPr="00F00517" w:rsidRDefault="00FE0E3F" w:rsidP="0049404D">
      <w:r w:rsidRPr="00F00517">
        <w:t>Vu l’Ordonnance Ministérielle N° 630/1253 du 22 septembre 2009 portant nomination des membres de la Plateforme Nationale du Financ</w:t>
      </w:r>
      <w:r w:rsidR="00F81BBA">
        <w:t>ement basé sur la Performance ;</w:t>
      </w:r>
    </w:p>
    <w:p w:rsidR="00FE0E3F" w:rsidRPr="00F00517" w:rsidRDefault="00FE0E3F" w:rsidP="0049404D">
      <w:r w:rsidRPr="00F00517">
        <w:t>Vu le document de Politique Nationale de la Contractualisation dans</w:t>
      </w:r>
      <w:r w:rsidR="00F81BBA">
        <w:t xml:space="preserve"> le secteur de la santé</w:t>
      </w:r>
      <w:r w:rsidRPr="00F00517">
        <w:t> ;</w:t>
      </w:r>
    </w:p>
    <w:p w:rsidR="00FE0E3F" w:rsidRPr="00F00517" w:rsidRDefault="00FE0E3F" w:rsidP="0049404D">
      <w:r w:rsidRPr="00F00517">
        <w:t>Vu le manuel des procédures pour la mise en œuvre du financement basé sur la performance au Burundi</w:t>
      </w:r>
      <w:r w:rsidR="00F81BBA">
        <w:t xml:space="preserve"> tel que révisé en septembre 2011</w:t>
      </w:r>
      <w:r w:rsidRPr="00F00517">
        <w:t> ;</w:t>
      </w:r>
    </w:p>
    <w:p w:rsidR="00FE0E3F" w:rsidRPr="00F00517" w:rsidRDefault="00FE0E3F" w:rsidP="0049404D">
      <w:r w:rsidRPr="00F00517">
        <w:t xml:space="preserve">Attendu que la stratégie de financement basé sur la performance cadre avec les grandes lignes de la politique nationale de réduction de la pauvreté et de </w:t>
      </w:r>
      <w:r w:rsidR="00F81BBA">
        <w:t>la politique nationale de santé</w:t>
      </w:r>
      <w:r w:rsidRPr="00F00517">
        <w:t> ;</w:t>
      </w:r>
    </w:p>
    <w:p w:rsidR="00FE0E3F" w:rsidRPr="00F00517" w:rsidRDefault="00FE0E3F" w:rsidP="0049404D">
      <w:r w:rsidRPr="00F00517">
        <w:t>Attendu que c</w:t>
      </w:r>
      <w:r w:rsidR="002E3D31">
        <w:t>ette stratégie est</w:t>
      </w:r>
      <w:r w:rsidRPr="00F00517">
        <w:t xml:space="preserve"> conforme aux initiatives et à la volonté des autorités national</w:t>
      </w:r>
      <w:r w:rsidR="002E3D31">
        <w:t xml:space="preserve">es de rendre les soins de santé accessibles à toute la </w:t>
      </w:r>
      <w:r w:rsidRPr="00F00517">
        <w:t xml:space="preserve">population et d’en améliorer la qualité </w:t>
      </w:r>
      <w:r w:rsidR="002E3D31">
        <w:t>par l’utilisation équitable des</w:t>
      </w:r>
      <w:r w:rsidRPr="00F00517">
        <w:t xml:space="preserve"> moyens disponibles ;</w:t>
      </w:r>
    </w:p>
    <w:p w:rsidR="00BB37F7" w:rsidRDefault="00FE0E3F" w:rsidP="00BB37F7">
      <w:r w:rsidRPr="00F00517">
        <w:t xml:space="preserve">Attendu que </w:t>
      </w:r>
      <w:r w:rsidR="002E3D31">
        <w:t xml:space="preserve">la </w:t>
      </w:r>
      <w:r w:rsidR="00F81BBA">
        <w:t>cellule technique nationale du financement basé sur la performance (</w:t>
      </w:r>
      <w:r w:rsidR="002E3D31">
        <w:t>CT-</w:t>
      </w:r>
      <w:r w:rsidR="002E3D31" w:rsidRPr="00F00517">
        <w:t>FBP</w:t>
      </w:r>
      <w:r w:rsidR="00F81BBA">
        <w:t>)</w:t>
      </w:r>
      <w:r w:rsidR="002E3D31" w:rsidRPr="00BB37F7">
        <w:t xml:space="preserve"> </w:t>
      </w:r>
      <w:r w:rsidR="002E3D31" w:rsidRPr="00F00517">
        <w:t>est chargé</w:t>
      </w:r>
      <w:r w:rsidR="000E78D4">
        <w:t>e</w:t>
      </w:r>
      <w:r w:rsidR="002E3D31" w:rsidRPr="00F00517">
        <w:t xml:space="preserve"> de la mise en œuvre </w:t>
      </w:r>
      <w:r w:rsidR="002E3D31">
        <w:t xml:space="preserve">des mécanismes de </w:t>
      </w:r>
      <w:r w:rsidRPr="00F00517">
        <w:t>Financement Basé sur la</w:t>
      </w:r>
      <w:r w:rsidR="002E3D31">
        <w:t xml:space="preserve"> performance dans le système de santé ;</w:t>
      </w:r>
    </w:p>
    <w:p w:rsidR="00BB37F7" w:rsidRDefault="00BB37F7" w:rsidP="00BB37F7"/>
    <w:p w:rsidR="00191885" w:rsidRPr="00AA34A1" w:rsidRDefault="00191885" w:rsidP="00BB37F7">
      <w:pPr>
        <w:rPr>
          <w:b/>
        </w:rPr>
      </w:pPr>
      <w:r w:rsidRPr="00AA34A1">
        <w:rPr>
          <w:b/>
        </w:rPr>
        <w:t xml:space="preserve">Il est convenu </w:t>
      </w:r>
      <w:r w:rsidR="000E78D4">
        <w:rPr>
          <w:b/>
        </w:rPr>
        <w:t xml:space="preserve">ce qui suit </w:t>
      </w:r>
      <w:r w:rsidRPr="00AA34A1">
        <w:rPr>
          <w:b/>
        </w:rPr>
        <w:t>entre :</w:t>
      </w:r>
    </w:p>
    <w:p w:rsidR="00BB37F7" w:rsidRPr="00F00517" w:rsidRDefault="00BB37F7" w:rsidP="00BB37F7">
      <w:r w:rsidRPr="00F00517">
        <w:t>Le Ministère de la Santé Publique et de la Lutte contre le SIDA, représenté par le Ministre de la Santé Publique et de la Lutte contre le Sida, ci-après désigné «</w:t>
      </w:r>
      <w:r w:rsidRPr="00F00517">
        <w:rPr>
          <w:b/>
        </w:rPr>
        <w:t>le Ministère</w:t>
      </w:r>
      <w:r w:rsidRPr="00F00517">
        <w:t> »</w:t>
      </w:r>
      <w:r w:rsidR="00191885">
        <w:t xml:space="preserve"> d’une part,</w:t>
      </w:r>
    </w:p>
    <w:p w:rsidR="00BB37F7" w:rsidRPr="00AA34A1" w:rsidRDefault="00BB37F7" w:rsidP="00BB37F7">
      <w:pPr>
        <w:rPr>
          <w:b/>
        </w:rPr>
      </w:pPr>
      <w:r w:rsidRPr="00AA34A1">
        <w:rPr>
          <w:b/>
        </w:rPr>
        <w:t xml:space="preserve">Et </w:t>
      </w:r>
    </w:p>
    <w:p w:rsidR="00AC3F10" w:rsidRDefault="00BB37F7" w:rsidP="00BB37F7">
      <w:r w:rsidRPr="00F00517">
        <w:t xml:space="preserve">L’unité de prestations du niveau central  </w:t>
      </w:r>
      <w:r>
        <w:t>…………………….</w:t>
      </w:r>
      <w:r w:rsidRPr="00F00517">
        <w:rPr>
          <w:b/>
        </w:rPr>
        <w:t xml:space="preserve"> </w:t>
      </w:r>
      <w:r w:rsidRPr="00F00517">
        <w:t xml:space="preserve"> ci-après désigné « </w:t>
      </w:r>
      <w:r w:rsidRPr="00F00517">
        <w:rPr>
          <w:b/>
        </w:rPr>
        <w:t>Prestataire</w:t>
      </w:r>
      <w:r w:rsidRPr="00F00517">
        <w:t xml:space="preserve"> », représentée par </w:t>
      </w:r>
      <w:r>
        <w:t>………………………..</w:t>
      </w:r>
      <w:r w:rsidRPr="00F00517">
        <w:t xml:space="preserve"> D’autre part;</w:t>
      </w:r>
    </w:p>
    <w:p w:rsidR="00AC3F10" w:rsidRDefault="00AC3F10" w:rsidP="00BB37F7">
      <w:pPr>
        <w:sectPr w:rsidR="00AC3F10" w:rsidSect="008A5031">
          <w:footerReference w:type="default" r:id="rId8"/>
          <w:pgSz w:w="11906" w:h="16838"/>
          <w:pgMar w:top="1361" w:right="1304" w:bottom="1361" w:left="1474" w:header="709" w:footer="709" w:gutter="0"/>
          <w:cols w:space="708"/>
          <w:docGrid w:linePitch="360"/>
        </w:sectPr>
      </w:pPr>
    </w:p>
    <w:p w:rsidR="00191885" w:rsidRDefault="00191885" w:rsidP="00191885">
      <w:pPr>
        <w:pStyle w:val="Titre2"/>
      </w:pPr>
      <w:r w:rsidRPr="0049617B">
        <w:rPr>
          <w:u w:val="single"/>
        </w:rPr>
        <w:lastRenderedPageBreak/>
        <w:t>Article 1</w:t>
      </w:r>
      <w:r w:rsidRPr="0049617B">
        <w:rPr>
          <w:u w:val="single"/>
          <w:vertAlign w:val="superscript"/>
        </w:rPr>
        <w:t>er</w:t>
      </w:r>
      <w:r>
        <w:rPr>
          <w:vertAlign w:val="superscript"/>
        </w:rPr>
        <w:t> </w:t>
      </w:r>
      <w:r>
        <w:t>: De la nature du contrat</w:t>
      </w:r>
    </w:p>
    <w:p w:rsidR="00191885" w:rsidRDefault="00191885" w:rsidP="00191885">
      <w:r w:rsidRPr="00F00517">
        <w:t xml:space="preserve">Le présent contrat </w:t>
      </w:r>
      <w:r>
        <w:t>encadre la</w:t>
      </w:r>
      <w:r w:rsidRPr="00F00517">
        <w:t xml:space="preserve"> </w:t>
      </w:r>
      <w:r>
        <w:t xml:space="preserve">subvention des </w:t>
      </w:r>
      <w:r w:rsidRPr="00F00517">
        <w:t>Unité</w:t>
      </w:r>
      <w:r>
        <w:t>s</w:t>
      </w:r>
      <w:r w:rsidRPr="00F00517">
        <w:t xml:space="preserve"> de Prestations du niveau central </w:t>
      </w:r>
      <w:r>
        <w:t xml:space="preserve">en contre </w:t>
      </w:r>
      <w:r w:rsidRPr="00F00517">
        <w:t xml:space="preserve">partie de </w:t>
      </w:r>
      <w:r>
        <w:t xml:space="preserve">leur </w:t>
      </w:r>
      <w:r w:rsidRPr="00191885">
        <w:t>contribution à la réalisation de leurs missions organiques et à l’atteinte des résultats du Plan National de Développement Sanitaire,</w:t>
      </w:r>
      <w:r w:rsidRPr="002E3D31">
        <w:rPr>
          <w:color w:val="1F497D" w:themeColor="text2"/>
        </w:rPr>
        <w:t xml:space="preserve"> </w:t>
      </w:r>
      <w:r w:rsidR="00642903" w:rsidRPr="00642903">
        <w:t>ainsi que</w:t>
      </w:r>
      <w:r>
        <w:t xml:space="preserve"> la répartition des primes basées sur la performance </w:t>
      </w:r>
      <w:r w:rsidR="00642903">
        <w:t>des</w:t>
      </w:r>
      <w:r>
        <w:t xml:space="preserve"> agents desdites Unités de Prestation</w:t>
      </w:r>
      <w:r w:rsidRPr="00F00517">
        <w:t>.</w:t>
      </w:r>
    </w:p>
    <w:p w:rsidR="00191885" w:rsidRDefault="00191885" w:rsidP="00191885">
      <w:r w:rsidRPr="00F00517">
        <w:t>L</w:t>
      </w:r>
      <w:r>
        <w:t>es</w:t>
      </w:r>
      <w:r w:rsidR="00C94DCE">
        <w:t xml:space="preserve"> subventions versées </w:t>
      </w:r>
      <w:r w:rsidRPr="00F00517">
        <w:t>dans le cadre du présent contrat de performance ne consti</w:t>
      </w:r>
      <w:r>
        <w:t>tue</w:t>
      </w:r>
      <w:r w:rsidR="0039244A">
        <w:t>nt</w:t>
      </w:r>
      <w:r>
        <w:t xml:space="preserve"> aucunement un droit acquis.</w:t>
      </w:r>
    </w:p>
    <w:p w:rsidR="00FE0E3F" w:rsidRDefault="00C94DCE" w:rsidP="00C94DCE">
      <w:pPr>
        <w:pStyle w:val="Titre2"/>
      </w:pPr>
      <w:r w:rsidRPr="0049617B">
        <w:rPr>
          <w:u w:val="single"/>
        </w:rPr>
        <w:t>Article 2</w:t>
      </w:r>
      <w:r>
        <w:t> : Définition de l’Unité de Prestation :</w:t>
      </w:r>
    </w:p>
    <w:p w:rsidR="00353A3B" w:rsidRDefault="00C94DCE" w:rsidP="00C94DCE">
      <w:r>
        <w:t>L’Unité de Prestation</w:t>
      </w:r>
      <w:r w:rsidR="00642903">
        <w:t xml:space="preserve"> (UP)</w:t>
      </w:r>
      <w:r>
        <w:t xml:space="preserve"> est comprise comme </w:t>
      </w:r>
      <w:r w:rsidR="00B414B5">
        <w:rPr>
          <w:i/>
        </w:rPr>
        <w:t>« une équipe qui a de</w:t>
      </w:r>
      <w:r w:rsidRPr="00C94DCE">
        <w:rPr>
          <w:i/>
        </w:rPr>
        <w:t xml:space="preserve">s obligations de résultats à produire </w:t>
      </w:r>
      <w:r w:rsidR="00B414B5">
        <w:rPr>
          <w:i/>
        </w:rPr>
        <w:t xml:space="preserve">communs clairement définis </w:t>
      </w:r>
      <w:r w:rsidRPr="00C94DCE">
        <w:rPr>
          <w:i/>
        </w:rPr>
        <w:t>et dont les membres dépendent d’une même autorité hiérarchique »</w:t>
      </w:r>
      <w:r>
        <w:rPr>
          <w:i/>
        </w:rPr>
        <w:t>.</w:t>
      </w:r>
      <w:r w:rsidR="00353A3B">
        <w:rPr>
          <w:i/>
        </w:rPr>
        <w:t xml:space="preserve"> </w:t>
      </w:r>
      <w:r w:rsidR="00353A3B">
        <w:t>L</w:t>
      </w:r>
      <w:r>
        <w:t xml:space="preserve">a composition </w:t>
      </w:r>
      <w:r w:rsidR="00F81BBA">
        <w:t xml:space="preserve">de l’UP est conforme à la règlementation </w:t>
      </w:r>
      <w:r w:rsidR="00B414B5">
        <w:t xml:space="preserve">en vigueur, notamment au </w:t>
      </w:r>
      <w:r w:rsidR="00B414B5" w:rsidRPr="00D65300">
        <w:t>Décret n° 100/254 du 4 Octobre 2011 portant organisation et fonctionnement du MSPLS</w:t>
      </w:r>
      <w:r w:rsidR="00353A3B">
        <w:t>.</w:t>
      </w:r>
    </w:p>
    <w:p w:rsidR="00191885" w:rsidRDefault="00F81BBA" w:rsidP="00C94DCE">
      <w:r>
        <w:t>L’UP</w:t>
      </w:r>
      <w:r w:rsidR="00C94DCE">
        <w:t xml:space="preserve"> s’engage à respecter le manuel de procédures du FBP ainsi que ses annexes, y compris le </w:t>
      </w:r>
      <w:r w:rsidR="00C94DCE" w:rsidRPr="00C94DCE">
        <w:rPr>
          <w:i/>
        </w:rPr>
        <w:t>document d’orientation sur la répartition et l’utilisation des financements FBP au niveau central</w:t>
      </w:r>
      <w:r w:rsidR="00B414B5">
        <w:t>, lesquels documents</w:t>
      </w:r>
      <w:r w:rsidR="00C94DCE">
        <w:t xml:space="preserve"> font partie intégrante du présent contrat.</w:t>
      </w:r>
    </w:p>
    <w:p w:rsidR="00C94DCE" w:rsidRDefault="00C94DCE" w:rsidP="00C94DCE">
      <w:pPr>
        <w:pStyle w:val="Titre2"/>
      </w:pPr>
      <w:r w:rsidRPr="0049617B">
        <w:rPr>
          <w:u w:val="single"/>
        </w:rPr>
        <w:t>Article 3</w:t>
      </w:r>
      <w:r>
        <w:t> :</w:t>
      </w:r>
      <w:r w:rsidR="003F29D7">
        <w:t xml:space="preserve"> Duré</w:t>
      </w:r>
      <w:r>
        <w:t>e du contrat</w:t>
      </w:r>
    </w:p>
    <w:p w:rsidR="00B84D76" w:rsidRDefault="00B84D76" w:rsidP="00C94DCE">
      <w:r>
        <w:t xml:space="preserve">Le présent contrat </w:t>
      </w:r>
      <w:r w:rsidR="0039244A">
        <w:t>entre en vigueur le jour de sa signature et court jusqu’au 31</w:t>
      </w:r>
      <w:r w:rsidR="00642903">
        <w:t xml:space="preserve"> décembre </w:t>
      </w:r>
      <w:r w:rsidR="00B414B5">
        <w:t>2014</w:t>
      </w:r>
      <w:r w:rsidR="00642903">
        <w:t>.</w:t>
      </w:r>
      <w:r w:rsidR="002A40F9">
        <w:t xml:space="preserve"> </w:t>
      </w:r>
      <w:r w:rsidR="0039244A">
        <w:t>Il peut être renouvelé après réévaluation par la CT-FBP de l’éligibilité de</w:t>
      </w:r>
      <w:r w:rsidR="00642903">
        <w:t xml:space="preserve"> l’Unité de </w:t>
      </w:r>
      <w:r w:rsidR="0039244A">
        <w:t>prestat</w:t>
      </w:r>
      <w:r w:rsidR="00642903">
        <w:t>ion</w:t>
      </w:r>
      <w:r w:rsidR="0039244A">
        <w:t>.</w:t>
      </w:r>
    </w:p>
    <w:p w:rsidR="00191885" w:rsidRDefault="0039244A" w:rsidP="00207F05">
      <w:pPr>
        <w:pStyle w:val="Titre2"/>
      </w:pPr>
      <w:r w:rsidRPr="0049617B">
        <w:rPr>
          <w:u w:val="single"/>
        </w:rPr>
        <w:t>Article 4</w:t>
      </w:r>
      <w:r>
        <w:t xml:space="preserve"> : Engagements du </w:t>
      </w:r>
      <w:r w:rsidR="00207F05">
        <w:t>Ministère</w:t>
      </w:r>
    </w:p>
    <w:p w:rsidR="00DC3779" w:rsidRPr="00F00517" w:rsidRDefault="00DC3779" w:rsidP="002273E3">
      <w:r w:rsidRPr="00F00517">
        <w:t>Le</w:t>
      </w:r>
      <w:r>
        <w:t xml:space="preserve"> Ministère de la Santé Publique et de la Lutte contre le Sida </w:t>
      </w:r>
      <w:r w:rsidRPr="00F00517">
        <w:t xml:space="preserve">s’engage à </w:t>
      </w:r>
      <w:r>
        <w:t>mettre à la disposition de l’Unité</w:t>
      </w:r>
      <w:r w:rsidRPr="00F00517">
        <w:t xml:space="preserve"> de Prestation</w:t>
      </w:r>
      <w:r>
        <w:t xml:space="preserve"> signataire </w:t>
      </w:r>
      <w:r w:rsidRPr="00F00517">
        <w:t xml:space="preserve">les ressources </w:t>
      </w:r>
      <w:r>
        <w:t>minimales néce</w:t>
      </w:r>
      <w:r w:rsidRPr="00F00517">
        <w:t xml:space="preserve">ssaires </w:t>
      </w:r>
      <w:r>
        <w:t xml:space="preserve">à l’accomplissement </w:t>
      </w:r>
      <w:r w:rsidR="005F626D">
        <w:t xml:space="preserve">de </w:t>
      </w:r>
      <w:r>
        <w:t xml:space="preserve">ses missions, dans </w:t>
      </w:r>
      <w:r w:rsidR="005F626D">
        <w:t>le</w:t>
      </w:r>
      <w:r>
        <w:t xml:space="preserve"> strict respect des principes d’efficience et d’efficacité.</w:t>
      </w:r>
    </w:p>
    <w:p w:rsidR="002A40F9" w:rsidRDefault="002A40F9" w:rsidP="004860BA">
      <w:r>
        <w:t xml:space="preserve">Le </w:t>
      </w:r>
      <w:r w:rsidRPr="004860BA">
        <w:t>MSPLS</w:t>
      </w:r>
      <w:r w:rsidR="00A6728F">
        <w:t xml:space="preserve"> </w:t>
      </w:r>
      <w:r w:rsidR="00DC3779" w:rsidRPr="00F00517">
        <w:t xml:space="preserve">s’engage </w:t>
      </w:r>
      <w:r w:rsidR="00A6728F">
        <w:t xml:space="preserve">également, avec l’appui de ses Partenaires Techniques et Financiers, </w:t>
      </w:r>
      <w:r w:rsidR="00DC3779" w:rsidRPr="00F00517">
        <w:t xml:space="preserve">à accorder </w:t>
      </w:r>
      <w:r w:rsidR="00A6728F">
        <w:t>au prestataire</w:t>
      </w:r>
      <w:r w:rsidR="00DC3779" w:rsidRPr="00F00517">
        <w:t xml:space="preserve"> une </w:t>
      </w:r>
      <w:r w:rsidR="00A6728F">
        <w:t>subvention liée à s</w:t>
      </w:r>
      <w:r w:rsidR="00DC3779" w:rsidRPr="00F00517">
        <w:t>a performance.</w:t>
      </w:r>
      <w:r w:rsidR="004860BA">
        <w:t xml:space="preserve"> </w:t>
      </w:r>
      <w:r w:rsidR="004860BA" w:rsidRPr="004860BA">
        <w:t>Cette subvention est octroyée à l’</w:t>
      </w:r>
      <w:r>
        <w:t>équipe et son montant est déterminé</w:t>
      </w:r>
      <w:r w:rsidR="00B255F7">
        <w:t xml:space="preserve"> au début de chaque année</w:t>
      </w:r>
      <w:r w:rsidR="004860BA" w:rsidRPr="004860BA">
        <w:t>.</w:t>
      </w:r>
    </w:p>
    <w:p w:rsidR="00E95ECE" w:rsidRPr="004860BA" w:rsidRDefault="00E95ECE" w:rsidP="004860BA">
      <w:r>
        <w:t>Toutefois, l</w:t>
      </w:r>
      <w:r w:rsidR="002A40F9">
        <w:t xml:space="preserve">e </w:t>
      </w:r>
      <w:r w:rsidR="002A40F9" w:rsidRPr="004860BA">
        <w:t>MSPLS</w:t>
      </w:r>
      <w:r w:rsidRPr="00F00517">
        <w:t xml:space="preserve"> se réserve le droit </w:t>
      </w:r>
      <w:r>
        <w:t xml:space="preserve">de ne pas accorder de </w:t>
      </w:r>
      <w:r w:rsidR="00823EEF">
        <w:t>subvention</w:t>
      </w:r>
      <w:r>
        <w:t xml:space="preserve"> à la performance </w:t>
      </w:r>
      <w:r w:rsidRPr="00F00517">
        <w:t xml:space="preserve">si de graves dysfonctionnements </w:t>
      </w:r>
      <w:r>
        <w:t xml:space="preserve">sont observés dans le fonctionnement des services. </w:t>
      </w:r>
      <w:r w:rsidRPr="00F00517">
        <w:t>L’appréciation du degré de gravité d’éventuels dysfonctionnements est laissée à la discrétion du Ministre qui, le c</w:t>
      </w:r>
      <w:r>
        <w:t xml:space="preserve">as échéant, proposera </w:t>
      </w:r>
      <w:r w:rsidRPr="00F00517">
        <w:t>les mesures à entreprendre</w:t>
      </w:r>
      <w:r>
        <w:t>.</w:t>
      </w:r>
      <w:r w:rsidR="00823EEF">
        <w:t xml:space="preserve"> </w:t>
      </w:r>
      <w:r w:rsidR="00823EEF">
        <w:t>Si des cas de mauvaise gestion des fonds, de</w:t>
      </w:r>
      <w:r w:rsidR="00823EEF" w:rsidRPr="00C90169">
        <w:t xml:space="preserve"> manipulation des comptes</w:t>
      </w:r>
      <w:r w:rsidR="00823EEF">
        <w:t xml:space="preserve"> ou</w:t>
      </w:r>
      <w:r w:rsidR="00823EEF" w:rsidRPr="00C90169">
        <w:t xml:space="preserve"> de non respects des procédu</w:t>
      </w:r>
      <w:r w:rsidR="00823EEF">
        <w:t>res par le prestataire sont avérés, d</w:t>
      </w:r>
      <w:r w:rsidR="00823EEF" w:rsidRPr="00C90169">
        <w:t>es sanctions proportionnelles à la gravité de l’acte seront prises à l’encontre des contrevenants</w:t>
      </w:r>
      <w:r w:rsidR="00823EEF">
        <w:t xml:space="preserve">, et le remboursement sans délais des sommes ayant fait l’objet de mauvaise gestion ou irrégularité exigés par </w:t>
      </w:r>
      <w:r w:rsidR="00823EEF" w:rsidRPr="00C90169">
        <w:t>le MSPLS</w:t>
      </w:r>
      <w:r w:rsidR="00823EEF">
        <w:t>.</w:t>
      </w:r>
    </w:p>
    <w:p w:rsidR="00207F05" w:rsidRDefault="00464D81" w:rsidP="00464D81">
      <w:pPr>
        <w:pStyle w:val="Titre2"/>
      </w:pPr>
      <w:r w:rsidRPr="0049617B">
        <w:rPr>
          <w:u w:val="single"/>
        </w:rPr>
        <w:t>Article 5</w:t>
      </w:r>
      <w:r>
        <w:t> : Engagements de l’Unité de Prestation</w:t>
      </w:r>
    </w:p>
    <w:p w:rsidR="00464D81" w:rsidRPr="002E3D31" w:rsidRDefault="00464D81" w:rsidP="00464D81">
      <w:r>
        <w:t xml:space="preserve">Le prestataire s’engage à accompagner aussi bien </w:t>
      </w:r>
      <w:r w:rsidRPr="002E3D31">
        <w:t xml:space="preserve">les services de santé </w:t>
      </w:r>
      <w:r>
        <w:t xml:space="preserve">des niveaux intermédiaires et périphériques que les autres services du niveau central </w:t>
      </w:r>
      <w:r w:rsidRPr="002E3D31">
        <w:t>dans leur organisation, planification et suivi-</w:t>
      </w:r>
      <w:r w:rsidRPr="002E3D31">
        <w:lastRenderedPageBreak/>
        <w:t xml:space="preserve">évaluation, </w:t>
      </w:r>
      <w:r>
        <w:t xml:space="preserve">ainsi que la mobilisation des ressources </w:t>
      </w:r>
      <w:r w:rsidR="00E967D1">
        <w:t xml:space="preserve">(y compris les ressources humaines) </w:t>
      </w:r>
      <w:r>
        <w:t>nécessaires à leur bon fonctionnement</w:t>
      </w:r>
      <w:r w:rsidRPr="002E3D31">
        <w:t>.</w:t>
      </w:r>
    </w:p>
    <w:p w:rsidR="00464D81" w:rsidRPr="002E3D31" w:rsidRDefault="002A40F9" w:rsidP="00EA1372">
      <w:pPr>
        <w:rPr>
          <w:lang w:val="fr-BE"/>
        </w:rPr>
      </w:pPr>
      <w:r>
        <w:t>Le prestataire</w:t>
      </w:r>
      <w:r w:rsidR="00464D81" w:rsidRPr="002E3D31">
        <w:t xml:space="preserve"> s’</w:t>
      </w:r>
      <w:r w:rsidR="00642903">
        <w:t>engage en outre à œuvrer pour l’ex</w:t>
      </w:r>
      <w:r w:rsidR="00EA1372">
        <w:t>écution de ses fonctions régaliennes, notamment son rôle dans le pilotage et la</w:t>
      </w:r>
      <w:r w:rsidR="00464D81">
        <w:t xml:space="preserve"> régulat</w:t>
      </w:r>
      <w:r w:rsidR="00EA1372">
        <w:t>ion du secteur de la santé</w:t>
      </w:r>
      <w:r w:rsidR="00464D81" w:rsidRPr="002E3D31">
        <w:t xml:space="preserve">. Ainsi, </w:t>
      </w:r>
      <w:r w:rsidR="00EA1372">
        <w:t>il limitera toute in</w:t>
      </w:r>
      <w:r w:rsidR="00464D81" w:rsidRPr="002E3D31">
        <w:t xml:space="preserve">terférence négative dans le fonctionnement </w:t>
      </w:r>
      <w:r w:rsidR="00464D81" w:rsidRPr="002E3D31">
        <w:rPr>
          <w:lang w:val="fr-BE"/>
        </w:rPr>
        <w:t>des niveaux intermédiaire et périphérique</w:t>
      </w:r>
      <w:r w:rsidR="00EA1372">
        <w:rPr>
          <w:lang w:val="fr-BE"/>
        </w:rPr>
        <w:t xml:space="preserve"> de la pyramide sanitaire</w:t>
      </w:r>
      <w:r w:rsidR="00464D81" w:rsidRPr="002E3D31">
        <w:rPr>
          <w:lang w:val="fr-BE"/>
        </w:rPr>
        <w:t xml:space="preserve">. Pour ce faire, il </w:t>
      </w:r>
      <w:r w:rsidR="00EA1372">
        <w:rPr>
          <w:lang w:val="fr-BE"/>
        </w:rPr>
        <w:t>devra</w:t>
      </w:r>
      <w:r w:rsidR="00464D81" w:rsidRPr="002E3D31">
        <w:t> :</w:t>
      </w:r>
    </w:p>
    <w:p w:rsidR="00464D81" w:rsidRDefault="00EA1372" w:rsidP="00EA1372">
      <w:pPr>
        <w:pStyle w:val="Paragraphedeliste"/>
        <w:numPr>
          <w:ilvl w:val="0"/>
          <w:numId w:val="19"/>
        </w:numPr>
        <w:rPr>
          <w:lang w:val="fr-BE"/>
        </w:rPr>
      </w:pPr>
      <w:r>
        <w:t>Contribuer à l’a</w:t>
      </w:r>
      <w:r w:rsidR="00464D81" w:rsidRPr="002E3D31">
        <w:t>mélior</w:t>
      </w:r>
      <w:r>
        <w:t>ation de</w:t>
      </w:r>
      <w:r w:rsidR="00464D81" w:rsidRPr="002E3D31">
        <w:t xml:space="preserve"> la coordination et </w:t>
      </w:r>
      <w:r>
        <w:t xml:space="preserve">de </w:t>
      </w:r>
      <w:r w:rsidR="00464D81" w:rsidRPr="002E3D31">
        <w:t>l’efficacité dans la mise en œuvre des réformes entreprises par le MSPLS</w:t>
      </w:r>
      <w:r>
        <w:t> </w:t>
      </w:r>
      <w:r>
        <w:rPr>
          <w:lang w:val="fr-BE"/>
        </w:rPr>
        <w:t>;</w:t>
      </w:r>
    </w:p>
    <w:p w:rsidR="004860BA" w:rsidRDefault="004860BA" w:rsidP="004860BA">
      <w:pPr>
        <w:pStyle w:val="Paragraphedeliste"/>
        <w:numPr>
          <w:ilvl w:val="0"/>
          <w:numId w:val="19"/>
        </w:numPr>
        <w:rPr>
          <w:lang w:val="fr-BE"/>
        </w:rPr>
      </w:pPr>
      <w:r w:rsidRPr="00EA1372">
        <w:rPr>
          <w:lang w:val="fr-BE"/>
        </w:rPr>
        <w:t>Partager avec les autres services de santé toutes les informations utiles à leur bon fonctionnement</w:t>
      </w:r>
      <w:r w:rsidR="005F626D">
        <w:rPr>
          <w:lang w:val="fr-BE"/>
        </w:rPr>
        <w:t> ;</w:t>
      </w:r>
    </w:p>
    <w:p w:rsidR="00464D81" w:rsidRPr="00EA1372" w:rsidRDefault="00464D81" w:rsidP="00EA1372">
      <w:pPr>
        <w:pStyle w:val="Paragraphedeliste"/>
        <w:numPr>
          <w:ilvl w:val="0"/>
          <w:numId w:val="19"/>
        </w:numPr>
        <w:rPr>
          <w:lang w:val="fr-BE"/>
        </w:rPr>
      </w:pPr>
      <w:r w:rsidRPr="002E3D31">
        <w:t>Promouvoir l’efficience et la gestion rationnelle des ressources</w:t>
      </w:r>
      <w:r w:rsidRPr="00EA1372">
        <w:rPr>
          <w:lang w:val="fr-BE"/>
        </w:rPr>
        <w:t xml:space="preserve"> à tous les niveaux de la pyramide sanitaire ;</w:t>
      </w:r>
    </w:p>
    <w:p w:rsidR="00464D81" w:rsidRPr="00EA1372" w:rsidRDefault="00464D81" w:rsidP="00EA1372">
      <w:pPr>
        <w:pStyle w:val="Paragraphedeliste"/>
        <w:numPr>
          <w:ilvl w:val="0"/>
          <w:numId w:val="19"/>
        </w:numPr>
        <w:rPr>
          <w:lang w:val="fr-BE"/>
        </w:rPr>
      </w:pPr>
      <w:r w:rsidRPr="002E3D31">
        <w:t>Développer une culture de travail basée sur des résultats</w:t>
      </w:r>
      <w:r w:rsidR="00FE60F3">
        <w:t xml:space="preserve"> réalistes et ambitieux</w:t>
      </w:r>
      <w:r w:rsidRPr="002E3D31">
        <w:t> ;</w:t>
      </w:r>
    </w:p>
    <w:p w:rsidR="00464D81" w:rsidRPr="00EA1372" w:rsidRDefault="00464D81" w:rsidP="00EA1372">
      <w:pPr>
        <w:pStyle w:val="Paragraphedeliste"/>
        <w:numPr>
          <w:ilvl w:val="0"/>
          <w:numId w:val="19"/>
        </w:numPr>
        <w:rPr>
          <w:lang w:val="fr-BE"/>
        </w:rPr>
      </w:pPr>
      <w:r w:rsidRPr="002E3D31">
        <w:t>Développer une dynamique de changement des attitudes et comportements afin de stimuler le développement des talents et le sens de l’initiative</w:t>
      </w:r>
      <w:r w:rsidR="00EA1372">
        <w:t xml:space="preserve"> au sein de l’Unité de Prestation</w:t>
      </w:r>
      <w:r w:rsidRPr="002E3D31">
        <w:t> ;</w:t>
      </w:r>
    </w:p>
    <w:p w:rsidR="004860BA" w:rsidRDefault="00464D81" w:rsidP="00BD34AE">
      <w:pPr>
        <w:pStyle w:val="Paragraphedeliste"/>
        <w:numPr>
          <w:ilvl w:val="0"/>
          <w:numId w:val="19"/>
        </w:numPr>
        <w:rPr>
          <w:lang w:val="fr-BE"/>
        </w:rPr>
      </w:pPr>
      <w:r w:rsidRPr="002E3D31">
        <w:t>Améliorer les conditions et le climat de travail dans les services centraux du MSPLS</w:t>
      </w:r>
      <w:r w:rsidR="00EA1372">
        <w:t> </w:t>
      </w:r>
      <w:r w:rsidR="00EA1372">
        <w:rPr>
          <w:lang w:val="fr-BE"/>
        </w:rPr>
        <w:t>;</w:t>
      </w:r>
    </w:p>
    <w:p w:rsidR="00633101" w:rsidRPr="007D53D3" w:rsidRDefault="00633101" w:rsidP="00BD34AE">
      <w:pPr>
        <w:pStyle w:val="Paragraphedeliste"/>
        <w:numPr>
          <w:ilvl w:val="0"/>
          <w:numId w:val="19"/>
        </w:numPr>
        <w:rPr>
          <w:lang w:val="fr-BE"/>
        </w:rPr>
      </w:pPr>
      <w:r w:rsidRPr="00794DDB">
        <w:t>Faire appliquer le règlement d’ordre intérieur</w:t>
      </w:r>
      <w:r w:rsidR="005F626D">
        <w:t xml:space="preserve"> du MSPLS ;</w:t>
      </w:r>
    </w:p>
    <w:p w:rsidR="007D53D3" w:rsidRDefault="007D53D3" w:rsidP="00BD34AE">
      <w:pPr>
        <w:pStyle w:val="Paragraphedeliste"/>
        <w:numPr>
          <w:ilvl w:val="0"/>
          <w:numId w:val="19"/>
        </w:numPr>
      </w:pPr>
      <w:r w:rsidRPr="007D53D3">
        <w:t>Elaborer et transmettre à la CT-FBP</w:t>
      </w:r>
      <w:r w:rsidR="002D58A5">
        <w:t>,</w:t>
      </w:r>
      <w:r w:rsidRPr="007D53D3">
        <w:t xml:space="preserve"> avec copie</w:t>
      </w:r>
      <w:r w:rsidR="002D58A5">
        <w:t xml:space="preserve">s réservées au Secrétariat Permanent et </w:t>
      </w:r>
      <w:r w:rsidRPr="007D53D3">
        <w:t>à la DGR</w:t>
      </w:r>
      <w:r w:rsidR="002D58A5">
        <w:t>,</w:t>
      </w:r>
      <w:r w:rsidRPr="007D53D3">
        <w:t xml:space="preserve"> la liste des personnes qui perçoivent des primes octroyées par le MSPLS ou ses partenaires financiers dans un autre cadre que celui du Financement Basé sur la Performance.</w:t>
      </w:r>
    </w:p>
    <w:p w:rsidR="00464D81" w:rsidRDefault="00353A3B" w:rsidP="00353A3B">
      <w:pPr>
        <w:pStyle w:val="Titre2"/>
        <w:rPr>
          <w:lang w:val="fr-BE"/>
        </w:rPr>
      </w:pPr>
      <w:r w:rsidRPr="0049617B">
        <w:rPr>
          <w:u w:val="single"/>
          <w:lang w:val="fr-BE"/>
        </w:rPr>
        <w:t>Article 6</w:t>
      </w:r>
      <w:r>
        <w:rPr>
          <w:lang w:val="fr-BE"/>
        </w:rPr>
        <w:t> : Evaluation de la performance</w:t>
      </w:r>
    </w:p>
    <w:p w:rsidR="00E967D1" w:rsidRDefault="00E967D1" w:rsidP="00E967D1">
      <w:r w:rsidRPr="00E967D1">
        <w:t xml:space="preserve">Au début de </w:t>
      </w:r>
      <w:r>
        <w:t>l’a</w:t>
      </w:r>
      <w:r w:rsidRPr="00E967D1">
        <w:t xml:space="preserve">nnée, </w:t>
      </w:r>
      <w:r>
        <w:t>le prestataire</w:t>
      </w:r>
      <w:r w:rsidRPr="00E967D1">
        <w:t xml:space="preserve"> transmet à </w:t>
      </w:r>
      <w:r>
        <w:t xml:space="preserve">son </w:t>
      </w:r>
      <w:r w:rsidRPr="00E967D1">
        <w:t xml:space="preserve">supérieur hiérarchique </w:t>
      </w:r>
      <w:r>
        <w:t>son plan</w:t>
      </w:r>
      <w:r w:rsidRPr="00E967D1">
        <w:t xml:space="preserve"> d’actions annuel</w:t>
      </w:r>
      <w:r>
        <w:t xml:space="preserve"> avec une copie réservée</w:t>
      </w:r>
      <w:r w:rsidRPr="00E967D1">
        <w:t xml:space="preserve"> à la Direction </w:t>
      </w:r>
      <w:r w:rsidR="006775FB">
        <w:t>de la planification et du Suivi-</w:t>
      </w:r>
      <w:r w:rsidRPr="00E967D1">
        <w:t>Eva</w:t>
      </w:r>
      <w:r w:rsidR="00111880">
        <w:t>luation des p</w:t>
      </w:r>
      <w:r w:rsidR="006775FB">
        <w:t>olitiques</w:t>
      </w:r>
      <w:r w:rsidR="00111880">
        <w:t xml:space="preserve"> de santé</w:t>
      </w:r>
      <w:r w:rsidRPr="00E967D1">
        <w:t>. La transmission des programmes trimestriels d’activités se fait de la même manière, au plus tard 15 jours après le début du trimestre concerné.</w:t>
      </w:r>
    </w:p>
    <w:p w:rsidR="00FF6238" w:rsidRPr="00E967D1" w:rsidRDefault="00FF6238" w:rsidP="00E967D1">
      <w:r>
        <w:t>L</w:t>
      </w:r>
      <w:r w:rsidR="00E47A50">
        <w:t>es plans d’actions annuels et</w:t>
      </w:r>
      <w:r>
        <w:t xml:space="preserve"> trimestriels sont validés par la Direction Générale de la Planification qui les transmet à la CT-FBP.</w:t>
      </w:r>
    </w:p>
    <w:p w:rsidR="003F29D7" w:rsidRPr="00F00517" w:rsidRDefault="003F29D7" w:rsidP="00BD34AE">
      <w:r w:rsidRPr="00F00517">
        <w:t xml:space="preserve">L’évaluation de la performance se fait </w:t>
      </w:r>
      <w:r w:rsidR="00794DDB">
        <w:t xml:space="preserve">à la fin de </w:t>
      </w:r>
      <w:r w:rsidR="00FF6238">
        <w:t>chaque trimestre</w:t>
      </w:r>
      <w:r w:rsidR="00794DDB">
        <w:t xml:space="preserve"> </w:t>
      </w:r>
      <w:r w:rsidRPr="00F00517">
        <w:t xml:space="preserve">par </w:t>
      </w:r>
      <w:r w:rsidR="00783852">
        <w:t>l</w:t>
      </w:r>
      <w:r w:rsidR="00BD34AE">
        <w:t xml:space="preserve">es pairs des autres Unités de prestation </w:t>
      </w:r>
      <w:r w:rsidR="00CC1E75">
        <w:t xml:space="preserve">choisis sur une liste arrêtée </w:t>
      </w:r>
      <w:r w:rsidR="00BD34AE" w:rsidRPr="00F00517">
        <w:t>par le Ministre de la Santé Publique et de la lutte contre le Sida</w:t>
      </w:r>
      <w:r w:rsidR="00FF6238">
        <w:t xml:space="preserve">. Ces derniers sont </w:t>
      </w:r>
      <w:r w:rsidR="00BD34AE">
        <w:t>accom</w:t>
      </w:r>
      <w:r w:rsidR="00794DDB">
        <w:t>pagnés des membres de la CT-FBP,</w:t>
      </w:r>
      <w:r w:rsidR="00BD34AE">
        <w:t xml:space="preserve"> de la CT-FBP élargie</w:t>
      </w:r>
      <w:r w:rsidR="00794DDB">
        <w:t xml:space="preserve"> et/ou du CPSD.</w:t>
      </w:r>
    </w:p>
    <w:p w:rsidR="00353A3B" w:rsidRPr="003F29D7" w:rsidRDefault="00BD34AE" w:rsidP="00353A3B">
      <w:r>
        <w:t>La CT-FBP</w:t>
      </w:r>
      <w:r w:rsidR="00783852">
        <w:t xml:space="preserve">, </w:t>
      </w:r>
      <w:r>
        <w:t>élabore chaque trimestre</w:t>
      </w:r>
      <w:r w:rsidR="003F29D7" w:rsidRPr="0049404D">
        <w:t xml:space="preserve"> le programme d’évaluation et approuve</w:t>
      </w:r>
      <w:r>
        <w:t xml:space="preserve"> </w:t>
      </w:r>
      <w:r w:rsidR="003F29D7" w:rsidRPr="0049404D">
        <w:t>les rapports d’évaluation</w:t>
      </w:r>
      <w:r>
        <w:t>s du trimestre précédent</w:t>
      </w:r>
      <w:r w:rsidR="003F29D7" w:rsidRPr="0049404D">
        <w:t>.</w:t>
      </w:r>
    </w:p>
    <w:p w:rsidR="00353A3B" w:rsidRDefault="00353A3B" w:rsidP="00353A3B">
      <w:pPr>
        <w:pStyle w:val="Titre2"/>
        <w:rPr>
          <w:lang w:val="fr-BE"/>
        </w:rPr>
      </w:pPr>
      <w:r w:rsidRPr="0049617B">
        <w:rPr>
          <w:u w:val="single"/>
          <w:lang w:val="fr-BE"/>
        </w:rPr>
        <w:t>Article 7 </w:t>
      </w:r>
      <w:r>
        <w:rPr>
          <w:lang w:val="fr-BE"/>
        </w:rPr>
        <w:t>: Indicateurs de performances</w:t>
      </w:r>
    </w:p>
    <w:p w:rsidR="001B2F49" w:rsidRDefault="00307B09" w:rsidP="00354667">
      <w:r>
        <w:rPr>
          <w:lang w:val="fr-BE"/>
        </w:rPr>
        <w:t>Avant la signature du présent contrat,</w:t>
      </w:r>
      <w:r w:rsidR="001B2F49">
        <w:rPr>
          <w:lang w:val="fr-BE"/>
        </w:rPr>
        <w:t xml:space="preserve"> l</w:t>
      </w:r>
      <w:r w:rsidR="001B2F49">
        <w:t xml:space="preserve">a CT-FBP arrête </w:t>
      </w:r>
      <w:r w:rsidR="001B2F49" w:rsidRPr="00CC1E75">
        <w:t>les critères de validation des résultats</w:t>
      </w:r>
      <w:r w:rsidR="001B2F49">
        <w:rPr>
          <w:color w:val="C0504D" w:themeColor="accent2"/>
        </w:rPr>
        <w:t xml:space="preserve"> </w:t>
      </w:r>
      <w:r w:rsidR="001B2F49" w:rsidRPr="00CC1E75">
        <w:t>attendus</w:t>
      </w:r>
      <w:r w:rsidR="001B2F49">
        <w:t xml:space="preserve"> de l’UP et élabore une grille d’évaluation</w:t>
      </w:r>
      <w:r>
        <w:t xml:space="preserve">. Cette grille </w:t>
      </w:r>
      <w:r w:rsidR="001B2F49">
        <w:t>est annexée</w:t>
      </w:r>
      <w:r w:rsidR="00354667">
        <w:t xml:space="preserve"> au présent contrat. </w:t>
      </w:r>
    </w:p>
    <w:p w:rsidR="00794DDB" w:rsidRDefault="00354667" w:rsidP="00354667">
      <w:r>
        <w:t>Elle</w:t>
      </w:r>
      <w:r w:rsidR="001B2F49">
        <w:t xml:space="preserve"> peut être révisée ou adaptée</w:t>
      </w:r>
      <w:r>
        <w:t xml:space="preserve"> au d</w:t>
      </w:r>
      <w:r w:rsidR="00492ADB" w:rsidRPr="00492ADB">
        <w:t>ébut de chaque trimestre en fonction des plans d’actions et programmes trimestriels de travail</w:t>
      </w:r>
      <w:r w:rsidR="001B2F49">
        <w:t>. Dans ce cas, la nouvelle grille privilégie</w:t>
      </w:r>
      <w:r w:rsidR="00794DDB">
        <w:t xml:space="preserve"> l</w:t>
      </w:r>
      <w:r w:rsidR="00794DDB" w:rsidRPr="00492ADB">
        <w:t xml:space="preserve">es indicateurs des résultats contribuant à la réalisation des missions régaliennes du MSPLS aux indicateurs de </w:t>
      </w:r>
      <w:r w:rsidR="00794DDB">
        <w:t>processus</w:t>
      </w:r>
      <w:r w:rsidR="001B2F49">
        <w:t>. Elle est transmise au Secrétariat Permanent avec copie à l’UP</w:t>
      </w:r>
      <w:r w:rsidR="00794DDB" w:rsidRPr="00492ADB">
        <w:t>.</w:t>
      </w:r>
      <w:r w:rsidR="001B2F49">
        <w:t xml:space="preserve"> </w:t>
      </w:r>
    </w:p>
    <w:p w:rsidR="00354667" w:rsidRDefault="00354667" w:rsidP="001B2F49">
      <w:pPr>
        <w:keepNext/>
      </w:pPr>
      <w:r>
        <w:lastRenderedPageBreak/>
        <w:t>Les indicateurs de performance sont classés en cinq (5) catégories :</w:t>
      </w:r>
    </w:p>
    <w:p w:rsidR="00975324" w:rsidRDefault="00354667" w:rsidP="001B2F49">
      <w:pPr>
        <w:pStyle w:val="Paragraphedeliste"/>
        <w:keepNext/>
        <w:numPr>
          <w:ilvl w:val="0"/>
          <w:numId w:val="28"/>
        </w:numPr>
      </w:pPr>
      <w:bookmarkStart w:id="1" w:name="_Toc312038514"/>
      <w:bookmarkStart w:id="2" w:name="_Toc315699721"/>
      <w:r>
        <w:t>Les indicateurs d’</w:t>
      </w:r>
      <w:r w:rsidRPr="00975324">
        <w:rPr>
          <w:b/>
        </w:rPr>
        <w:t>é</w:t>
      </w:r>
      <w:r w:rsidR="00492ADB" w:rsidRPr="00975324">
        <w:rPr>
          <w:b/>
        </w:rPr>
        <w:t>ligibilité</w:t>
      </w:r>
      <w:bookmarkEnd w:id="1"/>
      <w:bookmarkEnd w:id="2"/>
      <w:r>
        <w:t> : Ils évaluent les critères de base sans lesque</w:t>
      </w:r>
      <w:r w:rsidR="00C94B7B">
        <w:t xml:space="preserve">ls </w:t>
      </w:r>
      <w:r w:rsidR="00263153">
        <w:t>l’</w:t>
      </w:r>
      <w:r w:rsidR="00C94B7B">
        <w:t>unité de Prestation ne peut être contractualisée</w:t>
      </w:r>
      <w:r w:rsidR="00061960">
        <w:t> : organisation du service, maitrise des effectifs et planification annuelle. Contrairement aux autres catégories d’indicateurs,</w:t>
      </w:r>
      <w:r w:rsidR="00975324">
        <w:t xml:space="preserve"> </w:t>
      </w:r>
      <w:r w:rsidR="00061960">
        <w:t xml:space="preserve">ils </w:t>
      </w:r>
      <w:r w:rsidR="00975324">
        <w:t>ne donne</w:t>
      </w:r>
      <w:r w:rsidR="00061960">
        <w:t xml:space="preserve">nt </w:t>
      </w:r>
      <w:r w:rsidR="00975324">
        <w:t>droit à a</w:t>
      </w:r>
      <w:bookmarkStart w:id="3" w:name="_Toc312038515"/>
      <w:bookmarkStart w:id="4" w:name="_Toc315699722"/>
      <w:r w:rsidR="00061960">
        <w:t>ucune rémunération.</w:t>
      </w:r>
    </w:p>
    <w:p w:rsidR="00975324" w:rsidRDefault="00975324" w:rsidP="00975324">
      <w:pPr>
        <w:pStyle w:val="Paragraphedeliste"/>
        <w:numPr>
          <w:ilvl w:val="0"/>
          <w:numId w:val="28"/>
        </w:numPr>
      </w:pPr>
      <w:r>
        <w:t>Les indicateurs de l’</w:t>
      </w:r>
      <w:r w:rsidRPr="00975324">
        <w:rPr>
          <w:b/>
        </w:rPr>
        <w:t>amélioration de l’e</w:t>
      </w:r>
      <w:r w:rsidR="00492ADB" w:rsidRPr="00975324">
        <w:rPr>
          <w:b/>
        </w:rPr>
        <w:t>nvironnement de travail</w:t>
      </w:r>
      <w:bookmarkEnd w:id="3"/>
      <w:bookmarkEnd w:id="4"/>
      <w:r>
        <w:rPr>
          <w:b/>
        </w:rPr>
        <w:t xml:space="preserve"> : </w:t>
      </w:r>
      <w:r w:rsidR="00492ADB" w:rsidRPr="00975324">
        <w:t xml:space="preserve">propreté des infrastructures, hygiène, préservation de l’environnement, </w:t>
      </w:r>
      <w:r w:rsidR="00263153">
        <w:t>m</w:t>
      </w:r>
      <w:r w:rsidR="00492ADB" w:rsidRPr="00975324">
        <w:t>aint</w:t>
      </w:r>
      <w:r w:rsidR="00263153">
        <w:t xml:space="preserve">enance des outils de travail, </w:t>
      </w:r>
      <w:r w:rsidR="00492ADB" w:rsidRPr="00975324">
        <w:t>relations humaines entre les membres des équipes.</w:t>
      </w:r>
      <w:bookmarkStart w:id="5" w:name="_Toc312038516"/>
      <w:bookmarkStart w:id="6" w:name="_Toc315699723"/>
      <w:r>
        <w:t xml:space="preserve"> </w:t>
      </w:r>
    </w:p>
    <w:p w:rsidR="00492ADB" w:rsidRPr="00492ADB" w:rsidRDefault="00975324" w:rsidP="00263153">
      <w:pPr>
        <w:pStyle w:val="Paragraphedeliste"/>
        <w:numPr>
          <w:ilvl w:val="0"/>
          <w:numId w:val="28"/>
        </w:numPr>
      </w:pPr>
      <w:r>
        <w:t xml:space="preserve">Les indicateurs de </w:t>
      </w:r>
      <w:r w:rsidRPr="00061960">
        <w:rPr>
          <w:b/>
        </w:rPr>
        <w:t>l’e</w:t>
      </w:r>
      <w:r w:rsidR="00492ADB" w:rsidRPr="00061960">
        <w:rPr>
          <w:b/>
        </w:rPr>
        <w:t>xécution des plans d’actions</w:t>
      </w:r>
      <w:bookmarkEnd w:id="5"/>
      <w:bookmarkEnd w:id="6"/>
      <w:r w:rsidRPr="00263153">
        <w:t xml:space="preserve"> : </w:t>
      </w:r>
      <w:r w:rsidR="00492ADB" w:rsidRPr="00263153">
        <w:t>niveau d’exécution des plans d’actions, des calendriers de supervisions, des calendriers de réunions institutionnelles, des calend</w:t>
      </w:r>
      <w:r w:rsidR="00263153" w:rsidRPr="00263153">
        <w:t xml:space="preserve">riers de supervisions internes et </w:t>
      </w:r>
      <w:r w:rsidR="00492ADB" w:rsidRPr="00263153">
        <w:t xml:space="preserve">audits, des séances d’auto-évaluation des activités, ainsi que la production des rapports périodiques. </w:t>
      </w:r>
      <w:r w:rsidR="00492ADB" w:rsidRPr="00492ADB">
        <w:t>Afin de faciliter la coordination des actions, les dates de réunions des comités de gestion des Directions et département doivent être fixées de manière systématique</w:t>
      </w:r>
      <w:r w:rsidR="00706159">
        <w:t xml:space="preserve"> et communiquées à la DGP</w:t>
      </w:r>
      <w:r w:rsidR="00263153">
        <w:t xml:space="preserve"> au début du trimestre</w:t>
      </w:r>
      <w:r w:rsidR="00492ADB" w:rsidRPr="00492ADB">
        <w:t>.</w:t>
      </w:r>
    </w:p>
    <w:p w:rsidR="00263153" w:rsidRDefault="00263153" w:rsidP="00263153">
      <w:pPr>
        <w:pStyle w:val="Paragraphedeliste"/>
        <w:numPr>
          <w:ilvl w:val="0"/>
          <w:numId w:val="28"/>
        </w:numPr>
      </w:pPr>
      <w:bookmarkStart w:id="7" w:name="_Toc312038517"/>
      <w:bookmarkStart w:id="8" w:name="_Toc315699724"/>
      <w:r>
        <w:t xml:space="preserve">Les indicateurs </w:t>
      </w:r>
      <w:r w:rsidRPr="00061960">
        <w:rPr>
          <w:b/>
        </w:rPr>
        <w:t>d’a</w:t>
      </w:r>
      <w:r w:rsidR="00492ADB" w:rsidRPr="00061960">
        <w:rPr>
          <w:b/>
        </w:rPr>
        <w:t>ccompagnement du niveau intermédiaire</w:t>
      </w:r>
      <w:bookmarkEnd w:id="7"/>
      <w:bookmarkEnd w:id="8"/>
      <w:r>
        <w:t xml:space="preserve"> : </w:t>
      </w:r>
      <w:r w:rsidR="00492ADB" w:rsidRPr="00263153">
        <w:t>Ils ne sont applicables qu’aux UP qui assurent des supervisions, audits, inspection, contrôles et formations au niveau intermédiaire. Les activités menées directement dans les District de santé par des UP du niveau central ne sont pas prises en compte, sauf s’il s’agit d’acc</w:t>
      </w:r>
      <w:r w:rsidR="00853BD1">
        <w:t>ompagner l’équipe du Bureau Provincial ou du Bureau de District Sanitaire dans l’exécution d’</w:t>
      </w:r>
      <w:r w:rsidR="00492ADB" w:rsidRPr="00263153">
        <w:t>une tache précise, validée lors de l’approbation du plan d’action de</w:t>
      </w:r>
      <w:r w:rsidR="00853BD1">
        <w:t>s structures concernées</w:t>
      </w:r>
      <w:r w:rsidR="00492ADB" w:rsidRPr="00263153">
        <w:t>.</w:t>
      </w:r>
      <w:bookmarkStart w:id="9" w:name="_Toc312038518"/>
      <w:bookmarkStart w:id="10" w:name="_Toc315699725"/>
    </w:p>
    <w:p w:rsidR="00492ADB" w:rsidRPr="00E967D1" w:rsidRDefault="00263153" w:rsidP="002D58A5">
      <w:pPr>
        <w:pStyle w:val="Paragraphedeliste"/>
        <w:keepNext/>
        <w:numPr>
          <w:ilvl w:val="0"/>
          <w:numId w:val="28"/>
        </w:numPr>
        <w:ind w:hanging="357"/>
      </w:pPr>
      <w:r>
        <w:t>Les indicateurs</w:t>
      </w:r>
      <w:r w:rsidR="005F626D">
        <w:t xml:space="preserve"> de</w:t>
      </w:r>
      <w:r w:rsidR="005F626D">
        <w:rPr>
          <w:color w:val="C0504D" w:themeColor="accent2"/>
        </w:rPr>
        <w:t xml:space="preserve"> </w:t>
      </w:r>
      <w:r w:rsidR="00492ADB" w:rsidRPr="00061960">
        <w:rPr>
          <w:b/>
        </w:rPr>
        <w:t>Missions spécifiques des UP</w:t>
      </w:r>
      <w:bookmarkEnd w:id="9"/>
      <w:bookmarkEnd w:id="10"/>
      <w:r>
        <w:t xml:space="preserve"> : </w:t>
      </w:r>
      <w:r w:rsidR="00492ADB" w:rsidRPr="00E967D1">
        <w:t>attribués en fonction des résultats planifiés d</w:t>
      </w:r>
      <w:r w:rsidR="00E967D1" w:rsidRPr="00E967D1">
        <w:t xml:space="preserve">ans les plans d’actions annuels, </w:t>
      </w:r>
      <w:r w:rsidR="00492ADB" w:rsidRPr="00E967D1">
        <w:t>Il</w:t>
      </w:r>
      <w:r w:rsidR="00E967D1" w:rsidRPr="00E967D1">
        <w:t xml:space="preserve"> </w:t>
      </w:r>
      <w:r w:rsidR="00492ADB" w:rsidRPr="00E967D1">
        <w:t>s’agit des indicateurs des résultats notamment relatifs à :</w:t>
      </w:r>
    </w:p>
    <w:p w:rsidR="00492ADB" w:rsidRPr="00492ADB" w:rsidRDefault="00492ADB" w:rsidP="002D58A5">
      <w:pPr>
        <w:pStyle w:val="Paragraphedeliste"/>
        <w:keepNext/>
        <w:numPr>
          <w:ilvl w:val="0"/>
          <w:numId w:val="30"/>
        </w:numPr>
        <w:ind w:hanging="357"/>
      </w:pPr>
      <w:r w:rsidRPr="00492ADB">
        <w:t>La production des documents de politiques et stratégies, des lois et règle</w:t>
      </w:r>
      <w:r w:rsidR="005F626D">
        <w:t>ments, des normes et standards ;</w:t>
      </w:r>
    </w:p>
    <w:p w:rsidR="00492ADB" w:rsidRPr="00492ADB" w:rsidRDefault="00492ADB" w:rsidP="002D58A5">
      <w:pPr>
        <w:pStyle w:val="Paragraphedeliste"/>
        <w:keepNext/>
        <w:numPr>
          <w:ilvl w:val="0"/>
          <w:numId w:val="30"/>
        </w:numPr>
        <w:ind w:hanging="357"/>
      </w:pPr>
      <w:r w:rsidRPr="00492ADB">
        <w:t>La production des outils de formati</w:t>
      </w:r>
      <w:r w:rsidR="005F626D">
        <w:t>ons, supervisions et évaluation ;</w:t>
      </w:r>
    </w:p>
    <w:p w:rsidR="00492ADB" w:rsidRPr="00492ADB" w:rsidRDefault="00492ADB" w:rsidP="002D58A5">
      <w:pPr>
        <w:pStyle w:val="Paragraphedeliste"/>
        <w:keepNext/>
        <w:numPr>
          <w:ilvl w:val="0"/>
          <w:numId w:val="30"/>
        </w:numPr>
        <w:ind w:hanging="357"/>
      </w:pPr>
      <w:r w:rsidRPr="00492ADB">
        <w:t>La production des ordinogrammes, des guides thérapeutiques, des guides de gestion des finances et du matériel, des guides de maintenance du matériel, etc.</w:t>
      </w:r>
    </w:p>
    <w:p w:rsidR="00492ADB" w:rsidRPr="00492ADB" w:rsidRDefault="00492ADB" w:rsidP="002D58A5">
      <w:pPr>
        <w:pStyle w:val="Paragraphedeliste"/>
        <w:keepNext/>
        <w:numPr>
          <w:ilvl w:val="0"/>
          <w:numId w:val="30"/>
        </w:numPr>
        <w:ind w:hanging="357"/>
      </w:pPr>
      <w:r w:rsidRPr="00492ADB">
        <w:t>La levée des goulots d’étranglements qui empêchent la réalisation des missions régaliennes du MSPLS : accréditation des services,  validation des plans de couverture, dotations en intrants (ressources humaines, infrastructures, ressour</w:t>
      </w:r>
      <w:r w:rsidR="005F626D">
        <w:t>ces matérielles et financières) ;</w:t>
      </w:r>
    </w:p>
    <w:p w:rsidR="00492ADB" w:rsidRPr="00492ADB" w:rsidRDefault="00492ADB" w:rsidP="00E967D1">
      <w:pPr>
        <w:pStyle w:val="Paragraphedeliste"/>
        <w:numPr>
          <w:ilvl w:val="0"/>
          <w:numId w:val="30"/>
        </w:numPr>
      </w:pPr>
      <w:r w:rsidRPr="00492ADB">
        <w:t>Etc.</w:t>
      </w:r>
    </w:p>
    <w:p w:rsidR="00492ADB" w:rsidRPr="00E967D1" w:rsidRDefault="00492ADB" w:rsidP="00492ADB">
      <w:r w:rsidRPr="00E967D1">
        <w:t>Les activités évaluées par ce groupe d’indicateurs devraient limiter l’in</w:t>
      </w:r>
      <w:r w:rsidR="00E967D1" w:rsidRPr="00E967D1">
        <w:t>flation des groupes techniques</w:t>
      </w:r>
      <w:r w:rsidR="00610BD8">
        <w:t xml:space="preserve"> thématiques</w:t>
      </w:r>
      <w:r w:rsidR="00E967D1" w:rsidRPr="00E967D1">
        <w:t>.</w:t>
      </w:r>
    </w:p>
    <w:p w:rsidR="00353A3B" w:rsidRDefault="00353A3B" w:rsidP="00353A3B">
      <w:pPr>
        <w:pStyle w:val="Titre2"/>
        <w:rPr>
          <w:lang w:val="fr-BE"/>
        </w:rPr>
      </w:pPr>
      <w:r w:rsidRPr="0049617B">
        <w:rPr>
          <w:u w:val="single"/>
          <w:lang w:val="fr-BE"/>
        </w:rPr>
        <w:t>Article 8 </w:t>
      </w:r>
      <w:r>
        <w:rPr>
          <w:lang w:val="fr-BE"/>
        </w:rPr>
        <w:t>: Calcul de la subvention octroyée à l’UP dans le cadre du FBP</w:t>
      </w:r>
    </w:p>
    <w:p w:rsidR="00446AC3" w:rsidRDefault="00446AC3" w:rsidP="00976B92">
      <w:r>
        <w:rPr>
          <w:lang w:val="fr-BE"/>
        </w:rPr>
        <w:t xml:space="preserve">La grille d’évaluation de l’Unité de Prestation visée dans les articles précédents fixe un </w:t>
      </w:r>
      <w:r w:rsidRPr="00446AC3">
        <w:t xml:space="preserve">nombre de points </w:t>
      </w:r>
      <w:r>
        <w:t xml:space="preserve">d’indices de base </w:t>
      </w:r>
      <w:r w:rsidR="00F40C34">
        <w:t>pour l’unité de prestation</w:t>
      </w:r>
      <w:r w:rsidRPr="00446AC3">
        <w:t>.</w:t>
      </w:r>
      <w:r w:rsidR="00850AC1">
        <w:t xml:space="preserve"> </w:t>
      </w:r>
      <w:r w:rsidR="00F40C34">
        <w:t>La</w:t>
      </w:r>
      <w:r>
        <w:t xml:space="preserve"> valeur d’un point d’indice est de </w:t>
      </w:r>
      <w:r w:rsidR="002E0E4E">
        <w:t>9</w:t>
      </w:r>
      <w:r w:rsidR="00823EEF">
        <w:t> </w:t>
      </w:r>
      <w:r w:rsidR="002E0E4E">
        <w:t>500</w:t>
      </w:r>
      <w:r w:rsidR="00F40C34" w:rsidRPr="00492ADB">
        <w:t> </w:t>
      </w:r>
      <w:r>
        <w:t>BIF pour l</w:t>
      </w:r>
      <w:r w:rsidR="002E0E4E">
        <w:t xml:space="preserve">es </w:t>
      </w:r>
      <w:r>
        <w:t>année</w:t>
      </w:r>
      <w:r w:rsidR="002E0E4E">
        <w:t>s</w:t>
      </w:r>
      <w:r>
        <w:t xml:space="preserve"> 201</w:t>
      </w:r>
      <w:r w:rsidR="002E0E4E">
        <w:t>3 et 2014</w:t>
      </w:r>
      <w:r w:rsidR="00850AC1">
        <w:t>.</w:t>
      </w:r>
    </w:p>
    <w:p w:rsidR="00976B92" w:rsidRDefault="00850AC1" w:rsidP="00976B92">
      <w:r w:rsidRPr="00850AC1">
        <w:t xml:space="preserve">La subvention trimestrielle accordée à </w:t>
      </w:r>
      <w:r>
        <w:t>l’Un</w:t>
      </w:r>
      <w:r w:rsidRPr="00850AC1">
        <w:t>ité de Prestation</w:t>
      </w:r>
      <w:r>
        <w:t xml:space="preserve"> </w:t>
      </w:r>
      <w:r w:rsidR="00E1626A">
        <w:t xml:space="preserve">varie </w:t>
      </w:r>
      <w:r>
        <w:t xml:space="preserve">en fonction de la </w:t>
      </w:r>
      <w:r w:rsidR="00E1626A">
        <w:t>note</w:t>
      </w:r>
      <w:r>
        <w:t xml:space="preserve"> attribuée p</w:t>
      </w:r>
      <w:r w:rsidR="00E1626A">
        <w:t>ar la CT-FBP après validation du</w:t>
      </w:r>
      <w:r w:rsidR="00976B92">
        <w:t xml:space="preserve"> rapport </w:t>
      </w:r>
      <w:r w:rsidR="00E1626A">
        <w:t xml:space="preserve">de l’équipe d’évaluateurs du </w:t>
      </w:r>
      <w:r w:rsidR="00976B92">
        <w:t>FBP</w:t>
      </w:r>
      <w:r>
        <w:t>.</w:t>
      </w:r>
      <w:r w:rsidR="00976B92" w:rsidRPr="00976B92">
        <w:t xml:space="preserve"> </w:t>
      </w:r>
      <w:r w:rsidR="00976B92">
        <w:t xml:space="preserve">Elle est égale au nombre de points obtenus multiplié par la valeur d’un point d’indice si la cote est supérieur ou </w:t>
      </w:r>
      <w:r w:rsidR="00E1626A">
        <w:t>égale à 65% du maximum attendu.</w:t>
      </w:r>
    </w:p>
    <w:p w:rsidR="0098094E" w:rsidRDefault="00976B92" w:rsidP="00E1626A">
      <w:pPr>
        <w:keepNext/>
      </w:pPr>
      <w:r>
        <w:lastRenderedPageBreak/>
        <w:t>Toutefois :</w:t>
      </w:r>
    </w:p>
    <w:p w:rsidR="00850AC1" w:rsidRDefault="00850AC1" w:rsidP="00E1626A">
      <w:pPr>
        <w:pStyle w:val="Paragraphedeliste"/>
        <w:keepNext/>
        <w:numPr>
          <w:ilvl w:val="0"/>
          <w:numId w:val="32"/>
        </w:numPr>
      </w:pPr>
      <w:r>
        <w:t xml:space="preserve">Aucune subvention n’est accordée si cette cote est inférieure </w:t>
      </w:r>
      <w:r w:rsidR="00610BD8">
        <w:t>ou égale 50% du maximum attendu ;</w:t>
      </w:r>
    </w:p>
    <w:p w:rsidR="00976B92" w:rsidRDefault="00850AC1" w:rsidP="00976B92">
      <w:pPr>
        <w:pStyle w:val="Paragraphedeliste"/>
        <w:numPr>
          <w:ilvl w:val="0"/>
          <w:numId w:val="32"/>
        </w:numPr>
      </w:pPr>
      <w:r>
        <w:t>La moitié de l’enveloppe maximale prévue est accordée si la cote de l’UP est comprise entre 50% (inclus) et 65%</w:t>
      </w:r>
      <w:r w:rsidR="00610BD8">
        <w:t> ;</w:t>
      </w:r>
    </w:p>
    <w:p w:rsidR="0098094E" w:rsidRDefault="0098094E" w:rsidP="00976B92">
      <w:pPr>
        <w:pStyle w:val="Paragraphedeliste"/>
        <w:numPr>
          <w:ilvl w:val="0"/>
          <w:numId w:val="32"/>
        </w:numPr>
      </w:pPr>
      <w:r w:rsidRPr="00976B92">
        <w:t>Si pour un poste décrit dans une Unité de Prestation une prime est déjà octroyée par le MPLS ou l’un de ses partenaires financiers, le montant équivalent à la prime maximale attribuable au titulaire de ce poste est soustrait de l’enveloppe globale de l’Unité de Prestation à l’établissement de la facture.</w:t>
      </w:r>
    </w:p>
    <w:p w:rsidR="007D53D3" w:rsidRPr="00976B92" w:rsidRDefault="007D53D3" w:rsidP="007D53D3">
      <w:r>
        <w:t>Le point 3 ci-dessus est une disposition transitoire, car</w:t>
      </w:r>
      <w:r w:rsidRPr="007D53D3">
        <w:t xml:space="preserve"> toutes les primes fixes actuellement payées aux fonctionnaires du niveau central seront reversées dans le panier commun FBP</w:t>
      </w:r>
      <w:r>
        <w:t>.</w:t>
      </w:r>
    </w:p>
    <w:p w:rsidR="00353A3B" w:rsidRDefault="00353A3B" w:rsidP="00353A3B">
      <w:pPr>
        <w:pStyle w:val="Titre2"/>
        <w:rPr>
          <w:lang w:val="fr-BE"/>
        </w:rPr>
      </w:pPr>
      <w:r w:rsidRPr="0049617B">
        <w:rPr>
          <w:u w:val="single"/>
          <w:lang w:val="fr-BE"/>
        </w:rPr>
        <w:t>Article 9 </w:t>
      </w:r>
      <w:r>
        <w:rPr>
          <w:lang w:val="fr-BE"/>
        </w:rPr>
        <w:t>: Décaissement et utilisation des fonds issus du FBP</w:t>
      </w:r>
    </w:p>
    <w:p w:rsidR="0054333F" w:rsidRDefault="0054333F" w:rsidP="005A0A49">
      <w:r>
        <w:t>La Direction du Budget et des approvisionnements élabore</w:t>
      </w:r>
      <w:r w:rsidR="009A6B69">
        <w:t xml:space="preserve"> et assure la mise à jour </w:t>
      </w:r>
      <w:r>
        <w:t xml:space="preserve">des </w:t>
      </w:r>
      <w:r w:rsidR="009A6B69">
        <w:t>instructions sur le décaissement et la production des justificatifs des Fonds octroyés par les mécanismes du Financement Basé sur la Performance.</w:t>
      </w:r>
    </w:p>
    <w:p w:rsidR="005D6AA8" w:rsidRDefault="005A0A49" w:rsidP="005A0A49">
      <w:r>
        <w:t>Les subventions seront versées dans un compte du Ministère de la Santé Publique, chaque Unité de Prestation ayant un sous-compte. Aucune dépense dans un sous-compte ne peut se faire sans l’accord du responsable de l’UP concernée.</w:t>
      </w:r>
    </w:p>
    <w:p w:rsidR="00244CD0" w:rsidRDefault="00C1415D" w:rsidP="005A0A49">
      <w:r>
        <w:t>6</w:t>
      </w:r>
      <w:r w:rsidR="00492ADB" w:rsidRPr="00492ADB">
        <w:t xml:space="preserve">0% </w:t>
      </w:r>
      <w:r w:rsidR="00244CD0">
        <w:t>au maximum des fonds reçus du FBP s</w:t>
      </w:r>
      <w:r w:rsidR="00492ADB" w:rsidRPr="00492ADB">
        <w:t xml:space="preserve">ont affectés au paiement des primes </w:t>
      </w:r>
      <w:r w:rsidR="00244CD0">
        <w:t>du personnel. Le reste de la subvention est utilisé pour le</w:t>
      </w:r>
      <w:r w:rsidR="00492ADB" w:rsidRPr="00492ADB">
        <w:t xml:space="preserve"> fonctionnem</w:t>
      </w:r>
      <w:r w:rsidR="00244CD0">
        <w:t>ent des services bénéficiaires.</w:t>
      </w:r>
    </w:p>
    <w:p w:rsidR="0098094E" w:rsidRPr="0098094E" w:rsidRDefault="00492ADB" w:rsidP="005A0A49">
      <w:r w:rsidRPr="00492ADB">
        <w:t xml:space="preserve">Les dépenses éligibles à la rubrique « fonctionnement » seront validées par la Direction </w:t>
      </w:r>
      <w:r w:rsidR="005D6AA8">
        <w:t>Générale des Ressources</w:t>
      </w:r>
      <w:r w:rsidRPr="00492ADB">
        <w:t xml:space="preserve">. </w:t>
      </w:r>
      <w:r w:rsidR="0098094E" w:rsidRPr="0098094E">
        <w:t>Il peut s’agir du financement :</w:t>
      </w:r>
    </w:p>
    <w:p w:rsidR="0098094E" w:rsidRPr="0098094E" w:rsidRDefault="0098094E" w:rsidP="0054333F">
      <w:pPr>
        <w:pStyle w:val="Paragraphedeliste"/>
        <w:numPr>
          <w:ilvl w:val="0"/>
          <w:numId w:val="34"/>
        </w:numPr>
      </w:pPr>
      <w:r w:rsidRPr="0098094E">
        <w:t xml:space="preserve">des fournitures de bureau, </w:t>
      </w:r>
      <w:r w:rsidR="00244CD0">
        <w:t>consommables informatiques et</w:t>
      </w:r>
      <w:r w:rsidRPr="0098094E">
        <w:t xml:space="preserve"> connexions internet ;</w:t>
      </w:r>
    </w:p>
    <w:p w:rsidR="0098094E" w:rsidRPr="0098094E" w:rsidRDefault="0098094E" w:rsidP="0054333F">
      <w:pPr>
        <w:pStyle w:val="Paragraphedeliste"/>
        <w:numPr>
          <w:ilvl w:val="0"/>
          <w:numId w:val="34"/>
        </w:numPr>
      </w:pPr>
      <w:r w:rsidRPr="0098094E">
        <w:t xml:space="preserve">des compensations envers d’autres UP pour </w:t>
      </w:r>
      <w:r w:rsidR="005F626D">
        <w:t>l’utilisation de leur expertise ;</w:t>
      </w:r>
      <w:r w:rsidRPr="0098094E">
        <w:t xml:space="preserve"> </w:t>
      </w:r>
    </w:p>
    <w:p w:rsidR="0098094E" w:rsidRPr="0098094E" w:rsidRDefault="0098094E" w:rsidP="0054333F">
      <w:pPr>
        <w:pStyle w:val="Paragraphedeliste"/>
        <w:numPr>
          <w:ilvl w:val="0"/>
          <w:numId w:val="34"/>
        </w:numPr>
      </w:pPr>
      <w:r w:rsidRPr="0098094E">
        <w:t>du financement des petits travaux de plomberie, électricité, reprographie, etc.</w:t>
      </w:r>
    </w:p>
    <w:p w:rsidR="0098094E" w:rsidRPr="0098094E" w:rsidRDefault="005F626D" w:rsidP="0054333F">
      <w:pPr>
        <w:pStyle w:val="Paragraphedeliste"/>
        <w:numPr>
          <w:ilvl w:val="0"/>
          <w:numId w:val="34"/>
        </w:numPr>
      </w:pPr>
      <w:r>
        <w:t xml:space="preserve">des </w:t>
      </w:r>
      <w:r w:rsidR="0098094E" w:rsidRPr="0098094E">
        <w:t>dépenses destinées à améliorer la convivialité entre les me</w:t>
      </w:r>
      <w:r w:rsidR="00C1415D">
        <w:t>mbres des équipes</w:t>
      </w:r>
      <w:r w:rsidR="0098094E" w:rsidRPr="0098094E">
        <w:t>.</w:t>
      </w:r>
    </w:p>
    <w:p w:rsidR="002D58A5" w:rsidRPr="0098094E" w:rsidRDefault="002D58A5" w:rsidP="009A6B69">
      <w:pPr>
        <w:pStyle w:val="Titre2"/>
      </w:pPr>
      <w:bookmarkStart w:id="11" w:name="_Toc312038520"/>
      <w:bookmarkStart w:id="12" w:name="_Toc315699732"/>
      <w:r w:rsidRPr="0049617B">
        <w:rPr>
          <w:u w:val="single"/>
          <w:lang w:val="fr-BE"/>
        </w:rPr>
        <w:t>Article 10</w:t>
      </w:r>
      <w:r w:rsidR="008A5031">
        <w:rPr>
          <w:lang w:val="fr-BE"/>
        </w:rPr>
        <w:t> </w:t>
      </w:r>
      <w:r w:rsidR="008A5031">
        <w:t xml:space="preserve">: </w:t>
      </w:r>
      <w:r w:rsidRPr="009A6B69">
        <w:t>bénéficiaires</w:t>
      </w:r>
      <w:r w:rsidRPr="0098094E">
        <w:t xml:space="preserve"> des primes FBP</w:t>
      </w:r>
      <w:bookmarkEnd w:id="11"/>
      <w:bookmarkEnd w:id="12"/>
      <w:r w:rsidRPr="0098094E">
        <w:t xml:space="preserve">  </w:t>
      </w:r>
    </w:p>
    <w:p w:rsidR="009A6B69" w:rsidRDefault="009A6B69" w:rsidP="00972BE6">
      <w:r w:rsidRPr="0098094E">
        <w:t xml:space="preserve">Les primes </w:t>
      </w:r>
      <w:r>
        <w:t xml:space="preserve">FBP sont destinées </w:t>
      </w:r>
      <w:r w:rsidRPr="0098094E">
        <w:t>aux personnes régies par le statut de la fonction publique et régulièrement nommées/affectées par l’autorité compétente.</w:t>
      </w:r>
      <w:r>
        <w:t xml:space="preserve"> Elles sont réservées aux agents dont </w:t>
      </w:r>
      <w:r w:rsidRPr="0098094E">
        <w:t>la description détaillée du poste est faite par le service utilisateur</w:t>
      </w:r>
      <w:r>
        <w:t>, avec une</w:t>
      </w:r>
      <w:r w:rsidRPr="0098094E">
        <w:t xml:space="preserve"> copie présente dans </w:t>
      </w:r>
      <w:r>
        <w:t>son dossier personnel</w:t>
      </w:r>
      <w:r w:rsidRPr="0098094E">
        <w:t xml:space="preserve">. </w:t>
      </w:r>
      <w:r>
        <w:t xml:space="preserve">La description de poste </w:t>
      </w:r>
      <w:r w:rsidRPr="0098094E">
        <w:t xml:space="preserve">doit être validée par la Direction </w:t>
      </w:r>
      <w:r w:rsidR="005D6AA8">
        <w:t>des Ressources Humaines</w:t>
      </w:r>
      <w:r>
        <w:t>.</w:t>
      </w:r>
    </w:p>
    <w:p w:rsidR="002D58A5" w:rsidRPr="0098094E" w:rsidRDefault="002D58A5" w:rsidP="00972BE6">
      <w:r w:rsidRPr="0098094E">
        <w:t xml:space="preserve">Les primes sont </w:t>
      </w:r>
      <w:r w:rsidR="00972BE6">
        <w:t>attribuées par poste de travail :</w:t>
      </w:r>
      <w:r w:rsidRPr="0098094E">
        <w:t xml:space="preserve"> </w:t>
      </w:r>
      <w:r w:rsidR="00972BE6">
        <w:t>s</w:t>
      </w:r>
      <w:r w:rsidRPr="0098094E">
        <w:t>i plusieurs personnes occupent le même poste décrit dans le Règlement d’Ordre Intérieur (ROI) du Ministère,</w:t>
      </w:r>
      <w:r w:rsidR="00972BE6">
        <w:t xml:space="preserve"> une seule prime est attribuée. </w:t>
      </w:r>
      <w:r w:rsidRPr="0098094E">
        <w:t>Toutefois, cette prime peut être partagée à ces personnes sur la base d’instructions écrites élaborées par le responsable de l’Unité de Prestation et transmises au Secrétaire Permanent par voie hiérarchique avec copie au Directeur des ressources Humaines, au Dir</w:t>
      </w:r>
      <w:r w:rsidR="00C1415D">
        <w:t>ecteur Général des Ressources,</w:t>
      </w:r>
      <w:r w:rsidRPr="0098094E">
        <w:t xml:space="preserve"> au </w:t>
      </w:r>
      <w:r w:rsidR="00C1415D" w:rsidRPr="0098094E">
        <w:t>coordonnateur</w:t>
      </w:r>
      <w:r w:rsidRPr="0098094E">
        <w:t xml:space="preserve"> de la CT-FBP</w:t>
      </w:r>
      <w:r w:rsidR="00C1415D">
        <w:t xml:space="preserve"> et éventuellement au représentant du bailleurs de fonds de l’UP</w:t>
      </w:r>
      <w:r w:rsidRPr="0098094E">
        <w:t>.</w:t>
      </w:r>
    </w:p>
    <w:p w:rsidR="00353A3B" w:rsidRDefault="00353A3B" w:rsidP="00353A3B">
      <w:pPr>
        <w:pStyle w:val="Titre2"/>
        <w:rPr>
          <w:lang w:val="fr-BE"/>
        </w:rPr>
      </w:pPr>
      <w:r w:rsidRPr="0049617B">
        <w:rPr>
          <w:u w:val="single"/>
          <w:lang w:val="fr-BE"/>
        </w:rPr>
        <w:lastRenderedPageBreak/>
        <w:t>Article</w:t>
      </w:r>
      <w:r w:rsidR="0049617B" w:rsidRPr="0049617B">
        <w:rPr>
          <w:u w:val="single"/>
          <w:lang w:val="fr-BE"/>
        </w:rPr>
        <w:t xml:space="preserve"> </w:t>
      </w:r>
      <w:r w:rsidRPr="0049617B">
        <w:rPr>
          <w:u w:val="single"/>
          <w:lang w:val="fr-BE"/>
        </w:rPr>
        <w:t>1</w:t>
      </w:r>
      <w:r w:rsidR="0054169B">
        <w:rPr>
          <w:u w:val="single"/>
          <w:lang w:val="fr-BE"/>
        </w:rPr>
        <w:t>1</w:t>
      </w:r>
      <w:r>
        <w:rPr>
          <w:lang w:val="fr-BE"/>
        </w:rPr>
        <w:t> : Répartition des primes au personnel de l’Unité de Prestation</w:t>
      </w:r>
    </w:p>
    <w:p w:rsidR="0054169B" w:rsidRDefault="005D354D" w:rsidP="0054169B">
      <w:r>
        <w:rPr>
          <w:lang w:val="fr-BE"/>
        </w:rPr>
        <w:t>Le prestataire a la responsabilité exclusive de la répartition des primes à son personnel. Toutefois, u</w:t>
      </w:r>
      <w:r w:rsidR="0054169B">
        <w:rPr>
          <w:lang w:val="fr-BE"/>
        </w:rPr>
        <w:t>n outil (classeur Excel) dont l’utilisation est obligatoire a été</w:t>
      </w:r>
      <w:r w:rsidR="002D58A5">
        <w:t xml:space="preserve"> élaboré pour la répartition des primes et la production des états de paie dans les services administratifs</w:t>
      </w:r>
      <w:r w:rsidR="0054169B">
        <w:t>.</w:t>
      </w:r>
    </w:p>
    <w:p w:rsidR="0098094E" w:rsidRPr="0054169B" w:rsidRDefault="0054169B" w:rsidP="0054169B">
      <w:r>
        <w:t>Les états de paie produits avec cet outil sont transmis à la Direction du Budget et des Approvisionnement</w:t>
      </w:r>
      <w:r w:rsidR="004769C8">
        <w:t>s</w:t>
      </w:r>
      <w:r>
        <w:t xml:space="preserve"> pour versement des primes aux bénéficiaires</w:t>
      </w:r>
      <w:r w:rsidR="004769C8">
        <w:t xml:space="preserve"> sur décharge</w:t>
      </w:r>
      <w:r>
        <w:t xml:space="preserve">. Ils sont les seules pièces acceptées pour la justification des dépenses liées au paiement des primes. </w:t>
      </w:r>
      <w:r w:rsidRPr="0054169B">
        <w:t>La CT-FBP peut apporter une assistance technique pour la répartition des primes si elle est sollicitée par une UP</w:t>
      </w:r>
      <w:r>
        <w:t>.</w:t>
      </w:r>
    </w:p>
    <w:p w:rsidR="007D53D3" w:rsidRDefault="0054169B" w:rsidP="0054169B">
      <w:r>
        <w:t>L</w:t>
      </w:r>
      <w:r w:rsidR="0098094E" w:rsidRPr="0098094E">
        <w:t xml:space="preserve">es opérations </w:t>
      </w:r>
      <w:r>
        <w:t xml:space="preserve">de calcul et de paiement des primes à la performance </w:t>
      </w:r>
      <w:r w:rsidR="0098094E" w:rsidRPr="0098094E">
        <w:t>peuvent faire l’objet d’un contrôle de l’Inspection Générale</w:t>
      </w:r>
      <w:r w:rsidR="004769C8">
        <w:t xml:space="preserve"> ou d’un audit commandé par les Partenaires Techniques et Financiers intervenant dans le</w:t>
      </w:r>
      <w:r w:rsidR="00577F65">
        <w:t xml:space="preserve"> FBP au niveau central</w:t>
      </w:r>
      <w:r w:rsidR="0098094E" w:rsidRPr="0098094E">
        <w:t xml:space="preserve">. </w:t>
      </w:r>
      <w:r>
        <w:t>Dans tous les cas, l</w:t>
      </w:r>
      <w:r w:rsidR="0098094E" w:rsidRPr="0098094E">
        <w:t>a CT-FBP a le devoir de s’assurer avant l’établissement des factures au bénéfice d’une UP que les justificatifs financiers des subventions antér</w:t>
      </w:r>
      <w:r>
        <w:t>ieures ont été approuvés par les services compétents.</w:t>
      </w:r>
    </w:p>
    <w:p w:rsidR="0098094E" w:rsidRPr="0098094E" w:rsidRDefault="00513932" w:rsidP="00513932">
      <w:pPr>
        <w:pStyle w:val="Titre2"/>
      </w:pPr>
      <w:bookmarkStart w:id="13" w:name="_Toc312038521"/>
      <w:bookmarkStart w:id="14" w:name="_Toc315699733"/>
      <w:r w:rsidRPr="0049617B">
        <w:rPr>
          <w:u w:val="single"/>
          <w:lang w:val="fr-BE"/>
        </w:rPr>
        <w:t>Article 1</w:t>
      </w:r>
      <w:r>
        <w:rPr>
          <w:u w:val="single"/>
          <w:lang w:val="fr-BE"/>
        </w:rPr>
        <w:t>2</w:t>
      </w:r>
      <w:r>
        <w:rPr>
          <w:lang w:val="fr-BE"/>
        </w:rPr>
        <w:t xml:space="preserve"> : </w:t>
      </w:r>
      <w:r w:rsidR="0098094E" w:rsidRPr="00513932">
        <w:t>Critères</w:t>
      </w:r>
      <w:r w:rsidR="0098094E" w:rsidRPr="0098094E">
        <w:t xml:space="preserve"> d</w:t>
      </w:r>
      <w:r>
        <w:t xml:space="preserve">e calcul des </w:t>
      </w:r>
      <w:r w:rsidR="0098094E" w:rsidRPr="0098094E">
        <w:t>primes</w:t>
      </w:r>
      <w:bookmarkEnd w:id="13"/>
      <w:bookmarkEnd w:id="14"/>
    </w:p>
    <w:p w:rsidR="00633101" w:rsidRDefault="00513932" w:rsidP="00633101">
      <w:r>
        <w:t xml:space="preserve">Le calcul et le paiement </w:t>
      </w:r>
      <w:r w:rsidR="005F626D">
        <w:t>d</w:t>
      </w:r>
      <w:r>
        <w:t xml:space="preserve">es primes à la performance est trimestriel. </w:t>
      </w:r>
      <w:r w:rsidR="00633101" w:rsidRPr="0098094E">
        <w:t>Les c</w:t>
      </w:r>
      <w:r w:rsidR="0031175C">
        <w:t>ritères d’allocation sont</w:t>
      </w:r>
      <w:r w:rsidR="00633101" w:rsidRPr="0098094E">
        <w:t xml:space="preserve"> présentés au personnel et discutés pendant l’élaboration du </w:t>
      </w:r>
      <w:r>
        <w:t xml:space="preserve">programme </w:t>
      </w:r>
      <w:r w:rsidR="00633101" w:rsidRPr="0098094E">
        <w:t>trimestriel d’</w:t>
      </w:r>
      <w:r w:rsidR="0031175C">
        <w:t>activité</w:t>
      </w:r>
      <w:r w:rsidR="00633101" w:rsidRPr="0098094E">
        <w:t>. Des informations complémentaires peuvent être demandées à la CT-FBP en cas d’incompréhensions ou de zones d’ombres.</w:t>
      </w:r>
    </w:p>
    <w:p w:rsidR="00266BF8" w:rsidRPr="0098094E" w:rsidRDefault="00266BF8" w:rsidP="00633101">
      <w:r>
        <w:t>Les détails sur le calcul des primes sont précisés dans les annexes du présent contrat.</w:t>
      </w:r>
    </w:p>
    <w:p w:rsidR="0039244A" w:rsidRDefault="00E55CA7" w:rsidP="00353A3B">
      <w:pPr>
        <w:pStyle w:val="Titre2"/>
      </w:pPr>
      <w:r>
        <w:rPr>
          <w:u w:val="single"/>
        </w:rPr>
        <w:t>Article 13</w:t>
      </w:r>
      <w:r w:rsidR="00353A3B" w:rsidRPr="0049617B">
        <w:rPr>
          <w:u w:val="single"/>
        </w:rPr>
        <w:t> </w:t>
      </w:r>
      <w:r w:rsidR="00353A3B">
        <w:t>: R</w:t>
      </w:r>
      <w:r w:rsidR="003F29D7">
        <w:rPr>
          <w:lang w:val="fr-BE"/>
        </w:rPr>
        <w:t>é</w:t>
      </w:r>
      <w:r w:rsidR="00353A3B">
        <w:t>solution des litiges</w:t>
      </w:r>
    </w:p>
    <w:p w:rsidR="00E55CA7" w:rsidRDefault="00E55CA7" w:rsidP="00E55CA7">
      <w:r>
        <w:t>En cas de</w:t>
      </w:r>
      <w:r w:rsidR="00AA34A1" w:rsidRPr="00F00517">
        <w:t xml:space="preserve"> malentendus sur l’interprétation et l’exécution des termes de ce contrat, les parties </w:t>
      </w:r>
      <w:r>
        <w:t>conviennent de solliciter un avis technique de la CT-FBP.</w:t>
      </w:r>
      <w:r w:rsidR="00266BF8">
        <w:t xml:space="preserve"> </w:t>
      </w:r>
      <w:r>
        <w:t>Si elles ne sont pas sa</w:t>
      </w:r>
      <w:r w:rsidR="005F626D">
        <w:t>tisfaites, elles saisissent l</w:t>
      </w:r>
      <w:r w:rsidR="002F0762">
        <w:t>e CPSD</w:t>
      </w:r>
      <w:r>
        <w:t xml:space="preserve"> pour arbitrage.</w:t>
      </w:r>
    </w:p>
    <w:p w:rsidR="00E55CA7" w:rsidRDefault="00E55CA7" w:rsidP="00E55CA7">
      <w:r>
        <w:t>Si le litige persiste, il est tranché sans possibilité de recours par le Ministre de la Santé Publique</w:t>
      </w:r>
      <w:r w:rsidR="00266BF8">
        <w:t xml:space="preserve"> et de la Lutte Contre le SIDA</w:t>
      </w:r>
      <w:r>
        <w:t>.</w:t>
      </w:r>
    </w:p>
    <w:p w:rsidR="00DF6213" w:rsidRPr="00F00517" w:rsidRDefault="00DF6213" w:rsidP="00DF6213">
      <w:pPr>
        <w:pStyle w:val="Titre2"/>
      </w:pPr>
      <w:r w:rsidRPr="0049617B">
        <w:rPr>
          <w:u w:val="single"/>
        </w:rPr>
        <w:t>Article 1</w:t>
      </w:r>
      <w:r w:rsidR="00E55CA7">
        <w:rPr>
          <w:u w:val="single"/>
        </w:rPr>
        <w:t>4 :</w:t>
      </w:r>
      <w:r w:rsidRPr="00F00517">
        <w:t xml:space="preserve"> Modification et dissolution des termes du contrat </w:t>
      </w:r>
    </w:p>
    <w:p w:rsidR="00B84D76" w:rsidRDefault="00E55CA7" w:rsidP="00DF6213">
      <w:r>
        <w:t>S</w:t>
      </w:r>
      <w:r w:rsidR="00B84D76">
        <w:t>i le prestataire ne rempli plus les conditions d’éligibilité définie</w:t>
      </w:r>
      <w:r w:rsidR="00D36341">
        <w:t>s</w:t>
      </w:r>
      <w:r w:rsidR="00B84D76">
        <w:t xml:space="preserve"> à l’article 7, les parties sont libérées des effets du présent contrat.</w:t>
      </w:r>
    </w:p>
    <w:p w:rsidR="00DF6213" w:rsidRDefault="00D36341" w:rsidP="00DF6213">
      <w:r>
        <w:t>L</w:t>
      </w:r>
      <w:r w:rsidR="00DF6213">
        <w:t>e Ministre de la Santé Publique et de la Lutte contre le Sida se réserve le droit, en cas de force majeure ou pour nécessité de service, de suspendre, modifier ou étendre les termes du contrat. Les changements seront alors notifiés par voie hiérarchique à l’au</w:t>
      </w:r>
      <w:r>
        <w:t>tre partie signataire</w:t>
      </w:r>
      <w:r w:rsidR="00DF6213">
        <w:t>, avec copie à la CT-FBP</w:t>
      </w:r>
      <w:r w:rsidR="00577F65">
        <w:t xml:space="preserve"> et aux Partenaires Techniques et financiers intervenant dans le FBP au niveau central</w:t>
      </w:r>
      <w:r w:rsidR="00DF6213">
        <w:t>.</w:t>
      </w:r>
    </w:p>
    <w:p w:rsidR="009872A9" w:rsidRDefault="009872A9" w:rsidP="00DF6213"/>
    <w:p w:rsidR="009872A9" w:rsidRPr="009872A9" w:rsidRDefault="009872A9" w:rsidP="009872A9">
      <w:pPr>
        <w:spacing w:line="240" w:lineRule="auto"/>
        <w:ind w:left="3540" w:hanging="3540"/>
        <w:rPr>
          <w:b/>
        </w:rPr>
      </w:pPr>
      <w:r w:rsidRPr="009872A9">
        <w:rPr>
          <w:b/>
        </w:rPr>
        <w:t>Pour le Prestataire</w:t>
      </w:r>
      <w:r w:rsidRPr="009872A9">
        <w:rPr>
          <w:b/>
        </w:rPr>
        <w:tab/>
      </w:r>
      <w:r w:rsidRPr="009872A9">
        <w:rPr>
          <w:b/>
        </w:rPr>
        <w:tab/>
      </w:r>
      <w:r w:rsidRPr="009872A9">
        <w:rPr>
          <w:b/>
        </w:rPr>
        <w:tab/>
      </w:r>
      <w:r w:rsidRPr="009872A9">
        <w:rPr>
          <w:b/>
        </w:rPr>
        <w:tab/>
        <w:t xml:space="preserve">Le Ministre de la Santé Publique </w:t>
      </w:r>
      <w:r>
        <w:rPr>
          <w:b/>
        </w:rPr>
        <w:tab/>
      </w:r>
      <w:r>
        <w:rPr>
          <w:b/>
        </w:rPr>
        <w:tab/>
      </w:r>
      <w:r>
        <w:rPr>
          <w:b/>
        </w:rPr>
        <w:tab/>
      </w:r>
      <w:r>
        <w:rPr>
          <w:b/>
        </w:rPr>
        <w:tab/>
      </w:r>
      <w:r w:rsidRPr="009872A9">
        <w:rPr>
          <w:b/>
        </w:rPr>
        <w:t>et de la Lutte contre le SIDA</w:t>
      </w:r>
    </w:p>
    <w:sectPr w:rsidR="009872A9" w:rsidRPr="009872A9" w:rsidSect="008A5031">
      <w:pgSz w:w="11906" w:h="16838"/>
      <w:pgMar w:top="1361" w:right="1304" w:bottom="136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12B" w:rsidRDefault="00BA512B" w:rsidP="00660E86">
      <w:pPr>
        <w:spacing w:before="0" w:after="0" w:line="240" w:lineRule="auto"/>
      </w:pPr>
      <w:r>
        <w:separator/>
      </w:r>
    </w:p>
  </w:endnote>
  <w:endnote w:type="continuationSeparator" w:id="0">
    <w:p w:rsidR="00BA512B" w:rsidRDefault="00BA512B" w:rsidP="00660E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653724"/>
      <w:docPartObj>
        <w:docPartGallery w:val="Page Numbers (Bottom of Page)"/>
        <w:docPartUnique/>
      </w:docPartObj>
    </w:sdtPr>
    <w:sdtEndPr/>
    <w:sdtContent>
      <w:p w:rsidR="005339EC" w:rsidRDefault="00BA512B">
        <w:pPr>
          <w:pStyle w:val="Pieddepage"/>
          <w:jc w:val="right"/>
        </w:pPr>
        <w:r>
          <w:fldChar w:fldCharType="begin"/>
        </w:r>
        <w:r>
          <w:instrText xml:space="preserve"> PAGE   \* MERGEFORMAT </w:instrText>
        </w:r>
        <w:r>
          <w:fldChar w:fldCharType="separate"/>
        </w:r>
        <w:r w:rsidR="007539BB">
          <w:rPr>
            <w:noProof/>
          </w:rPr>
          <w:t>1</w:t>
        </w:r>
        <w:r>
          <w:rPr>
            <w:noProof/>
          </w:rPr>
          <w:fldChar w:fldCharType="end"/>
        </w:r>
      </w:p>
    </w:sdtContent>
  </w:sdt>
  <w:p w:rsidR="005339EC" w:rsidRDefault="005339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12B" w:rsidRDefault="00BA512B" w:rsidP="00660E86">
      <w:pPr>
        <w:spacing w:before="0" w:after="0" w:line="240" w:lineRule="auto"/>
      </w:pPr>
      <w:r>
        <w:separator/>
      </w:r>
    </w:p>
  </w:footnote>
  <w:footnote w:type="continuationSeparator" w:id="0">
    <w:p w:rsidR="00BA512B" w:rsidRDefault="00BA512B" w:rsidP="00660E8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CC1"/>
    <w:multiLevelType w:val="hybridMultilevel"/>
    <w:tmpl w:val="FABA6B9A"/>
    <w:lvl w:ilvl="0" w:tplc="93D030AA">
      <w:start w:val="1"/>
      <w:numFmt w:val="bullet"/>
      <w:lvlText w:val="-"/>
      <w:lvlJc w:val="left"/>
      <w:pPr>
        <w:ind w:left="761" w:hanging="360"/>
      </w:pPr>
      <w:rPr>
        <w:rFonts w:ascii="Calibri" w:eastAsia="Times New Roman" w:hAnsi="Calibri" w:cs="Times New Roman" w:hint="default"/>
      </w:rPr>
    </w:lvl>
    <w:lvl w:ilvl="1" w:tplc="080C0003" w:tentative="1">
      <w:start w:val="1"/>
      <w:numFmt w:val="bullet"/>
      <w:lvlText w:val="o"/>
      <w:lvlJc w:val="left"/>
      <w:pPr>
        <w:ind w:left="1481" w:hanging="360"/>
      </w:pPr>
      <w:rPr>
        <w:rFonts w:ascii="Courier New" w:hAnsi="Courier New" w:cs="Courier New" w:hint="default"/>
      </w:rPr>
    </w:lvl>
    <w:lvl w:ilvl="2" w:tplc="080C0005" w:tentative="1">
      <w:start w:val="1"/>
      <w:numFmt w:val="bullet"/>
      <w:lvlText w:val=""/>
      <w:lvlJc w:val="left"/>
      <w:pPr>
        <w:ind w:left="2201" w:hanging="360"/>
      </w:pPr>
      <w:rPr>
        <w:rFonts w:ascii="Wingdings" w:hAnsi="Wingdings" w:hint="default"/>
      </w:rPr>
    </w:lvl>
    <w:lvl w:ilvl="3" w:tplc="080C0001" w:tentative="1">
      <w:start w:val="1"/>
      <w:numFmt w:val="bullet"/>
      <w:lvlText w:val=""/>
      <w:lvlJc w:val="left"/>
      <w:pPr>
        <w:ind w:left="2921" w:hanging="360"/>
      </w:pPr>
      <w:rPr>
        <w:rFonts w:ascii="Symbol" w:hAnsi="Symbol" w:hint="default"/>
      </w:rPr>
    </w:lvl>
    <w:lvl w:ilvl="4" w:tplc="080C0003" w:tentative="1">
      <w:start w:val="1"/>
      <w:numFmt w:val="bullet"/>
      <w:lvlText w:val="o"/>
      <w:lvlJc w:val="left"/>
      <w:pPr>
        <w:ind w:left="3641" w:hanging="360"/>
      </w:pPr>
      <w:rPr>
        <w:rFonts w:ascii="Courier New" w:hAnsi="Courier New" w:cs="Courier New" w:hint="default"/>
      </w:rPr>
    </w:lvl>
    <w:lvl w:ilvl="5" w:tplc="080C0005" w:tentative="1">
      <w:start w:val="1"/>
      <w:numFmt w:val="bullet"/>
      <w:lvlText w:val=""/>
      <w:lvlJc w:val="left"/>
      <w:pPr>
        <w:ind w:left="4361" w:hanging="360"/>
      </w:pPr>
      <w:rPr>
        <w:rFonts w:ascii="Wingdings" w:hAnsi="Wingdings" w:hint="default"/>
      </w:rPr>
    </w:lvl>
    <w:lvl w:ilvl="6" w:tplc="080C0001" w:tentative="1">
      <w:start w:val="1"/>
      <w:numFmt w:val="bullet"/>
      <w:lvlText w:val=""/>
      <w:lvlJc w:val="left"/>
      <w:pPr>
        <w:ind w:left="5081" w:hanging="360"/>
      </w:pPr>
      <w:rPr>
        <w:rFonts w:ascii="Symbol" w:hAnsi="Symbol" w:hint="default"/>
      </w:rPr>
    </w:lvl>
    <w:lvl w:ilvl="7" w:tplc="080C0003" w:tentative="1">
      <w:start w:val="1"/>
      <w:numFmt w:val="bullet"/>
      <w:lvlText w:val="o"/>
      <w:lvlJc w:val="left"/>
      <w:pPr>
        <w:ind w:left="5801" w:hanging="360"/>
      </w:pPr>
      <w:rPr>
        <w:rFonts w:ascii="Courier New" w:hAnsi="Courier New" w:cs="Courier New" w:hint="default"/>
      </w:rPr>
    </w:lvl>
    <w:lvl w:ilvl="8" w:tplc="080C0005" w:tentative="1">
      <w:start w:val="1"/>
      <w:numFmt w:val="bullet"/>
      <w:lvlText w:val=""/>
      <w:lvlJc w:val="left"/>
      <w:pPr>
        <w:ind w:left="6521" w:hanging="360"/>
      </w:pPr>
      <w:rPr>
        <w:rFonts w:ascii="Wingdings" w:hAnsi="Wingdings" w:hint="default"/>
      </w:rPr>
    </w:lvl>
  </w:abstractNum>
  <w:abstractNum w:abstractNumId="1">
    <w:nsid w:val="01D0339C"/>
    <w:multiLevelType w:val="hybridMultilevel"/>
    <w:tmpl w:val="340887C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409C4"/>
    <w:multiLevelType w:val="hybridMultilevel"/>
    <w:tmpl w:val="CE8C8CCC"/>
    <w:lvl w:ilvl="0" w:tplc="080C000F">
      <w:start w:val="1"/>
      <w:numFmt w:val="decimal"/>
      <w:lvlText w:val="%1."/>
      <w:lvlJc w:val="left"/>
      <w:pPr>
        <w:ind w:left="72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nsid w:val="08926831"/>
    <w:multiLevelType w:val="hybridMultilevel"/>
    <w:tmpl w:val="CBA634C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B851B17"/>
    <w:multiLevelType w:val="hybridMultilevel"/>
    <w:tmpl w:val="CBA634C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0D693673"/>
    <w:multiLevelType w:val="hybridMultilevel"/>
    <w:tmpl w:val="49C0E2F6"/>
    <w:lvl w:ilvl="0" w:tplc="0E30C11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E323F43"/>
    <w:multiLevelType w:val="hybridMultilevel"/>
    <w:tmpl w:val="696012D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0E8A6B65"/>
    <w:multiLevelType w:val="hybridMultilevel"/>
    <w:tmpl w:val="AA18036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21B4212"/>
    <w:multiLevelType w:val="hybridMultilevel"/>
    <w:tmpl w:val="E7AAE87C"/>
    <w:lvl w:ilvl="0" w:tplc="2ACAFA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6375B3"/>
    <w:multiLevelType w:val="hybridMultilevel"/>
    <w:tmpl w:val="FD8EEB92"/>
    <w:lvl w:ilvl="0" w:tplc="FD680CB0">
      <w:start w:val="2"/>
      <w:numFmt w:val="bullet"/>
      <w:lvlText w:val="-"/>
      <w:lvlJc w:val="left"/>
      <w:pPr>
        <w:tabs>
          <w:tab w:val="num" w:pos="720"/>
        </w:tabs>
        <w:ind w:left="720" w:hanging="360"/>
      </w:pPr>
      <w:rPr>
        <w:rFonts w:ascii="Calibri" w:eastAsia="Calibri" w:hAnsi="Calibri" w:cs="Calibri"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13D4C27"/>
    <w:multiLevelType w:val="hybridMultilevel"/>
    <w:tmpl w:val="631EFB16"/>
    <w:lvl w:ilvl="0" w:tplc="2ACAFA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3173D0"/>
    <w:multiLevelType w:val="hybridMultilevel"/>
    <w:tmpl w:val="75C0D538"/>
    <w:lvl w:ilvl="0" w:tplc="2ACAFA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AAE2133"/>
    <w:multiLevelType w:val="hybridMultilevel"/>
    <w:tmpl w:val="A1907B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311114A9"/>
    <w:multiLevelType w:val="hybridMultilevel"/>
    <w:tmpl w:val="7B9C8BC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nsid w:val="342248EC"/>
    <w:multiLevelType w:val="hybridMultilevel"/>
    <w:tmpl w:val="61B00E46"/>
    <w:lvl w:ilvl="0" w:tplc="0409000D">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A55FF4"/>
    <w:multiLevelType w:val="hybridMultilevel"/>
    <w:tmpl w:val="A69054B6"/>
    <w:lvl w:ilvl="0" w:tplc="1BAE3222">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34E61FB8"/>
    <w:multiLevelType w:val="hybridMultilevel"/>
    <w:tmpl w:val="C92A0804"/>
    <w:lvl w:ilvl="0" w:tplc="04090017">
      <w:start w:val="1"/>
      <w:numFmt w:val="lowerLetter"/>
      <w:lvlText w:val="%1)"/>
      <w:lvlJc w:val="left"/>
      <w:pPr>
        <w:ind w:left="720" w:hanging="360"/>
      </w:pPr>
      <w:rPr>
        <w:rFonts w:hint="default"/>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943FDD"/>
    <w:multiLevelType w:val="hybridMultilevel"/>
    <w:tmpl w:val="893AE95A"/>
    <w:lvl w:ilvl="0" w:tplc="0409000D">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7707249"/>
    <w:multiLevelType w:val="hybridMultilevel"/>
    <w:tmpl w:val="340610FC"/>
    <w:lvl w:ilvl="0" w:tplc="A6C663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7A30A19"/>
    <w:multiLevelType w:val="hybridMultilevel"/>
    <w:tmpl w:val="03B484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4D755427"/>
    <w:multiLevelType w:val="hybridMultilevel"/>
    <w:tmpl w:val="3EC20EFE"/>
    <w:lvl w:ilvl="0" w:tplc="2ACAFA42">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505A5115"/>
    <w:multiLevelType w:val="hybridMultilevel"/>
    <w:tmpl w:val="92740CF4"/>
    <w:lvl w:ilvl="0" w:tplc="2ACAFA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063A94"/>
    <w:multiLevelType w:val="hybridMultilevel"/>
    <w:tmpl w:val="E0BC2064"/>
    <w:lvl w:ilvl="0" w:tplc="A6C663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80C2020"/>
    <w:multiLevelType w:val="hybridMultilevel"/>
    <w:tmpl w:val="535C679E"/>
    <w:lvl w:ilvl="0" w:tplc="A6C6631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589F09AC"/>
    <w:multiLevelType w:val="multilevel"/>
    <w:tmpl w:val="F0B27C4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9555746"/>
    <w:multiLevelType w:val="hybridMultilevel"/>
    <w:tmpl w:val="9DA8B66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5CD64861"/>
    <w:multiLevelType w:val="hybridMultilevel"/>
    <w:tmpl w:val="2C30B242"/>
    <w:lvl w:ilvl="0" w:tplc="0409000D">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75FCA3AC">
      <w:start w:val="1"/>
      <w:numFmt w:val="bullet"/>
      <w:lvlText w:val="-"/>
      <w:lvlJc w:val="left"/>
      <w:pPr>
        <w:ind w:left="2160" w:hanging="360"/>
      </w:pPr>
      <w:rPr>
        <w:rFonts w:ascii="Candara" w:eastAsia="Arial Unicode MS" w:hAnsi="Candara" w:cs="Arial Unicode MS"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E92CAC"/>
    <w:multiLevelType w:val="hybridMultilevel"/>
    <w:tmpl w:val="FBE2BC38"/>
    <w:lvl w:ilvl="0" w:tplc="2ACAFA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D914853"/>
    <w:multiLevelType w:val="hybridMultilevel"/>
    <w:tmpl w:val="D24A18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5F7C6A66"/>
    <w:multiLevelType w:val="hybridMultilevel"/>
    <w:tmpl w:val="49083BD0"/>
    <w:lvl w:ilvl="0" w:tplc="080C0001">
      <w:start w:val="1"/>
      <w:numFmt w:val="bullet"/>
      <w:lvlText w:val=""/>
      <w:lvlJc w:val="left"/>
      <w:pPr>
        <w:ind w:left="783" w:hanging="360"/>
      </w:pPr>
      <w:rPr>
        <w:rFonts w:ascii="Symbol" w:hAnsi="Symbol" w:hint="default"/>
      </w:rPr>
    </w:lvl>
    <w:lvl w:ilvl="1" w:tplc="080C0003" w:tentative="1">
      <w:start w:val="1"/>
      <w:numFmt w:val="bullet"/>
      <w:lvlText w:val="o"/>
      <w:lvlJc w:val="left"/>
      <w:pPr>
        <w:ind w:left="1503" w:hanging="360"/>
      </w:pPr>
      <w:rPr>
        <w:rFonts w:ascii="Courier New" w:hAnsi="Courier New" w:cs="Courier New" w:hint="default"/>
      </w:rPr>
    </w:lvl>
    <w:lvl w:ilvl="2" w:tplc="080C0005" w:tentative="1">
      <w:start w:val="1"/>
      <w:numFmt w:val="bullet"/>
      <w:lvlText w:val=""/>
      <w:lvlJc w:val="left"/>
      <w:pPr>
        <w:ind w:left="2223" w:hanging="360"/>
      </w:pPr>
      <w:rPr>
        <w:rFonts w:ascii="Wingdings" w:hAnsi="Wingdings" w:hint="default"/>
      </w:rPr>
    </w:lvl>
    <w:lvl w:ilvl="3" w:tplc="080C0001" w:tentative="1">
      <w:start w:val="1"/>
      <w:numFmt w:val="bullet"/>
      <w:lvlText w:val=""/>
      <w:lvlJc w:val="left"/>
      <w:pPr>
        <w:ind w:left="2943" w:hanging="360"/>
      </w:pPr>
      <w:rPr>
        <w:rFonts w:ascii="Symbol" w:hAnsi="Symbol" w:hint="default"/>
      </w:rPr>
    </w:lvl>
    <w:lvl w:ilvl="4" w:tplc="080C0003" w:tentative="1">
      <w:start w:val="1"/>
      <w:numFmt w:val="bullet"/>
      <w:lvlText w:val="o"/>
      <w:lvlJc w:val="left"/>
      <w:pPr>
        <w:ind w:left="3663" w:hanging="360"/>
      </w:pPr>
      <w:rPr>
        <w:rFonts w:ascii="Courier New" w:hAnsi="Courier New" w:cs="Courier New" w:hint="default"/>
      </w:rPr>
    </w:lvl>
    <w:lvl w:ilvl="5" w:tplc="080C0005" w:tentative="1">
      <w:start w:val="1"/>
      <w:numFmt w:val="bullet"/>
      <w:lvlText w:val=""/>
      <w:lvlJc w:val="left"/>
      <w:pPr>
        <w:ind w:left="4383" w:hanging="360"/>
      </w:pPr>
      <w:rPr>
        <w:rFonts w:ascii="Wingdings" w:hAnsi="Wingdings" w:hint="default"/>
      </w:rPr>
    </w:lvl>
    <w:lvl w:ilvl="6" w:tplc="080C0001" w:tentative="1">
      <w:start w:val="1"/>
      <w:numFmt w:val="bullet"/>
      <w:lvlText w:val=""/>
      <w:lvlJc w:val="left"/>
      <w:pPr>
        <w:ind w:left="5103" w:hanging="360"/>
      </w:pPr>
      <w:rPr>
        <w:rFonts w:ascii="Symbol" w:hAnsi="Symbol" w:hint="default"/>
      </w:rPr>
    </w:lvl>
    <w:lvl w:ilvl="7" w:tplc="080C0003" w:tentative="1">
      <w:start w:val="1"/>
      <w:numFmt w:val="bullet"/>
      <w:lvlText w:val="o"/>
      <w:lvlJc w:val="left"/>
      <w:pPr>
        <w:ind w:left="5823" w:hanging="360"/>
      </w:pPr>
      <w:rPr>
        <w:rFonts w:ascii="Courier New" w:hAnsi="Courier New" w:cs="Courier New" w:hint="default"/>
      </w:rPr>
    </w:lvl>
    <w:lvl w:ilvl="8" w:tplc="080C0005" w:tentative="1">
      <w:start w:val="1"/>
      <w:numFmt w:val="bullet"/>
      <w:lvlText w:val=""/>
      <w:lvlJc w:val="left"/>
      <w:pPr>
        <w:ind w:left="6543" w:hanging="360"/>
      </w:pPr>
      <w:rPr>
        <w:rFonts w:ascii="Wingdings" w:hAnsi="Wingdings" w:hint="default"/>
      </w:rPr>
    </w:lvl>
  </w:abstractNum>
  <w:abstractNum w:abstractNumId="30">
    <w:nsid w:val="69B80D15"/>
    <w:multiLevelType w:val="hybridMultilevel"/>
    <w:tmpl w:val="08EA3E96"/>
    <w:lvl w:ilvl="0" w:tplc="A6C663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6B420156"/>
    <w:multiLevelType w:val="hybridMultilevel"/>
    <w:tmpl w:val="C608A342"/>
    <w:lvl w:ilvl="0" w:tplc="2ACAFA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CB22A5A"/>
    <w:multiLevelType w:val="hybridMultilevel"/>
    <w:tmpl w:val="ED6A8734"/>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3">
    <w:nsid w:val="6E3D779B"/>
    <w:multiLevelType w:val="hybridMultilevel"/>
    <w:tmpl w:val="C3A2D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BC2F18"/>
    <w:multiLevelType w:val="hybridMultilevel"/>
    <w:tmpl w:val="BF686C9A"/>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76543750"/>
    <w:multiLevelType w:val="hybridMultilevel"/>
    <w:tmpl w:val="6520F1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nsid w:val="781332D3"/>
    <w:multiLevelType w:val="hybridMultilevel"/>
    <w:tmpl w:val="F522AB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79190558"/>
    <w:multiLevelType w:val="hybridMultilevel"/>
    <w:tmpl w:val="482E9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27"/>
  </w:num>
  <w:num w:numId="4">
    <w:abstractNumId w:val="20"/>
  </w:num>
  <w:num w:numId="5">
    <w:abstractNumId w:val="21"/>
  </w:num>
  <w:num w:numId="6">
    <w:abstractNumId w:val="11"/>
  </w:num>
  <w:num w:numId="7">
    <w:abstractNumId w:val="31"/>
  </w:num>
  <w:num w:numId="8">
    <w:abstractNumId w:val="10"/>
  </w:num>
  <w:num w:numId="9">
    <w:abstractNumId w:val="9"/>
  </w:num>
  <w:num w:numId="10">
    <w:abstractNumId w:val="1"/>
  </w:num>
  <w:num w:numId="11">
    <w:abstractNumId w:val="16"/>
  </w:num>
  <w:num w:numId="12">
    <w:abstractNumId w:val="37"/>
  </w:num>
  <w:num w:numId="13">
    <w:abstractNumId w:val="15"/>
  </w:num>
  <w:num w:numId="14">
    <w:abstractNumId w:val="14"/>
  </w:num>
  <w:num w:numId="15">
    <w:abstractNumId w:val="26"/>
  </w:num>
  <w:num w:numId="16">
    <w:abstractNumId w:val="17"/>
  </w:num>
  <w:num w:numId="17">
    <w:abstractNumId w:val="33"/>
  </w:num>
  <w:num w:numId="18">
    <w:abstractNumId w:val="5"/>
  </w:num>
  <w:num w:numId="19">
    <w:abstractNumId w:val="35"/>
  </w:num>
  <w:num w:numId="20">
    <w:abstractNumId w:val="7"/>
  </w:num>
  <w:num w:numId="21">
    <w:abstractNumId w:val="29"/>
  </w:num>
  <w:num w:numId="22">
    <w:abstractNumId w:val="0"/>
  </w:num>
  <w:num w:numId="23">
    <w:abstractNumId w:val="23"/>
  </w:num>
  <w:num w:numId="24">
    <w:abstractNumId w:val="25"/>
  </w:num>
  <w:num w:numId="25">
    <w:abstractNumId w:val="28"/>
  </w:num>
  <w:num w:numId="26">
    <w:abstractNumId w:val="18"/>
  </w:num>
  <w:num w:numId="27">
    <w:abstractNumId w:val="6"/>
  </w:num>
  <w:num w:numId="28">
    <w:abstractNumId w:val="13"/>
  </w:num>
  <w:num w:numId="29">
    <w:abstractNumId w:val="32"/>
  </w:num>
  <w:num w:numId="30">
    <w:abstractNumId w:val="19"/>
  </w:num>
  <w:num w:numId="31">
    <w:abstractNumId w:val="12"/>
  </w:num>
  <w:num w:numId="32">
    <w:abstractNumId w:val="2"/>
  </w:num>
  <w:num w:numId="33">
    <w:abstractNumId w:val="36"/>
  </w:num>
  <w:num w:numId="34">
    <w:abstractNumId w:val="22"/>
  </w:num>
  <w:num w:numId="35">
    <w:abstractNumId w:val="34"/>
  </w:num>
  <w:num w:numId="36">
    <w:abstractNumId w:val="4"/>
  </w:num>
  <w:num w:numId="37">
    <w:abstractNumId w:val="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9E"/>
    <w:rsid w:val="00023705"/>
    <w:rsid w:val="00061960"/>
    <w:rsid w:val="000E78D4"/>
    <w:rsid w:val="00111880"/>
    <w:rsid w:val="0011720B"/>
    <w:rsid w:val="00191885"/>
    <w:rsid w:val="001B0B77"/>
    <w:rsid w:val="001B2F49"/>
    <w:rsid w:val="00207F05"/>
    <w:rsid w:val="002273E3"/>
    <w:rsid w:val="00244CD0"/>
    <w:rsid w:val="00255046"/>
    <w:rsid w:val="00263153"/>
    <w:rsid w:val="00266BF8"/>
    <w:rsid w:val="00272998"/>
    <w:rsid w:val="002768C9"/>
    <w:rsid w:val="002A0A16"/>
    <w:rsid w:val="002A40F9"/>
    <w:rsid w:val="002D2B71"/>
    <w:rsid w:val="002D58A5"/>
    <w:rsid w:val="002E0E4E"/>
    <w:rsid w:val="002E3D31"/>
    <w:rsid w:val="002E592C"/>
    <w:rsid w:val="002F0762"/>
    <w:rsid w:val="002F509E"/>
    <w:rsid w:val="00307B09"/>
    <w:rsid w:val="0031175C"/>
    <w:rsid w:val="00345C5D"/>
    <w:rsid w:val="00346320"/>
    <w:rsid w:val="00353A3B"/>
    <w:rsid w:val="00354667"/>
    <w:rsid w:val="00370090"/>
    <w:rsid w:val="0039244A"/>
    <w:rsid w:val="003968ED"/>
    <w:rsid w:val="003C6290"/>
    <w:rsid w:val="003D68F0"/>
    <w:rsid w:val="003F29D7"/>
    <w:rsid w:val="00446AC3"/>
    <w:rsid w:val="004523EE"/>
    <w:rsid w:val="00454D8B"/>
    <w:rsid w:val="00464D81"/>
    <w:rsid w:val="004769C8"/>
    <w:rsid w:val="0048247E"/>
    <w:rsid w:val="004860BA"/>
    <w:rsid w:val="00492ADB"/>
    <w:rsid w:val="0049404D"/>
    <w:rsid w:val="0049617B"/>
    <w:rsid w:val="004B07A5"/>
    <w:rsid w:val="004E0E3E"/>
    <w:rsid w:val="00513932"/>
    <w:rsid w:val="005339EC"/>
    <w:rsid w:val="00534839"/>
    <w:rsid w:val="0054169B"/>
    <w:rsid w:val="0054333F"/>
    <w:rsid w:val="00545B7F"/>
    <w:rsid w:val="00577F65"/>
    <w:rsid w:val="005A0A49"/>
    <w:rsid w:val="005B2885"/>
    <w:rsid w:val="005D354D"/>
    <w:rsid w:val="005D6AA8"/>
    <w:rsid w:val="005E0A7A"/>
    <w:rsid w:val="005F626D"/>
    <w:rsid w:val="00610BD8"/>
    <w:rsid w:val="00614795"/>
    <w:rsid w:val="00633101"/>
    <w:rsid w:val="00642903"/>
    <w:rsid w:val="00660E86"/>
    <w:rsid w:val="00661A4A"/>
    <w:rsid w:val="006775FB"/>
    <w:rsid w:val="006B29D1"/>
    <w:rsid w:val="00706159"/>
    <w:rsid w:val="007539BB"/>
    <w:rsid w:val="007703DF"/>
    <w:rsid w:val="00783852"/>
    <w:rsid w:val="00794DDB"/>
    <w:rsid w:val="007D53D3"/>
    <w:rsid w:val="007F4E0D"/>
    <w:rsid w:val="008106D2"/>
    <w:rsid w:val="00813615"/>
    <w:rsid w:val="00823EEF"/>
    <w:rsid w:val="00833B51"/>
    <w:rsid w:val="008353F2"/>
    <w:rsid w:val="008444A9"/>
    <w:rsid w:val="00850AC1"/>
    <w:rsid w:val="00853BD1"/>
    <w:rsid w:val="00891D2C"/>
    <w:rsid w:val="008A5031"/>
    <w:rsid w:val="008E02AE"/>
    <w:rsid w:val="00910AC3"/>
    <w:rsid w:val="00924E9A"/>
    <w:rsid w:val="009665DD"/>
    <w:rsid w:val="00972BE6"/>
    <w:rsid w:val="00975324"/>
    <w:rsid w:val="00976B92"/>
    <w:rsid w:val="0098094E"/>
    <w:rsid w:val="009872A9"/>
    <w:rsid w:val="00987874"/>
    <w:rsid w:val="009A0065"/>
    <w:rsid w:val="009A6B69"/>
    <w:rsid w:val="00A00CB3"/>
    <w:rsid w:val="00A1644A"/>
    <w:rsid w:val="00A17EFD"/>
    <w:rsid w:val="00A6728F"/>
    <w:rsid w:val="00A80BAF"/>
    <w:rsid w:val="00AA31E4"/>
    <w:rsid w:val="00AA34A1"/>
    <w:rsid w:val="00AB3254"/>
    <w:rsid w:val="00AC3F10"/>
    <w:rsid w:val="00B2347D"/>
    <w:rsid w:val="00B255F7"/>
    <w:rsid w:val="00B414B5"/>
    <w:rsid w:val="00B84D76"/>
    <w:rsid w:val="00B941C0"/>
    <w:rsid w:val="00B9471F"/>
    <w:rsid w:val="00BA512B"/>
    <w:rsid w:val="00BB37F7"/>
    <w:rsid w:val="00BB5648"/>
    <w:rsid w:val="00BC2C83"/>
    <w:rsid w:val="00BD34AE"/>
    <w:rsid w:val="00C1415D"/>
    <w:rsid w:val="00C34B74"/>
    <w:rsid w:val="00C412B1"/>
    <w:rsid w:val="00C644CF"/>
    <w:rsid w:val="00C94B7B"/>
    <w:rsid w:val="00C94DCE"/>
    <w:rsid w:val="00CC1E75"/>
    <w:rsid w:val="00CC4314"/>
    <w:rsid w:val="00D17432"/>
    <w:rsid w:val="00D36341"/>
    <w:rsid w:val="00D911DE"/>
    <w:rsid w:val="00DA79FF"/>
    <w:rsid w:val="00DC3779"/>
    <w:rsid w:val="00DF1EFE"/>
    <w:rsid w:val="00DF6213"/>
    <w:rsid w:val="00E1626A"/>
    <w:rsid w:val="00E20910"/>
    <w:rsid w:val="00E47A50"/>
    <w:rsid w:val="00E55CA7"/>
    <w:rsid w:val="00E755D2"/>
    <w:rsid w:val="00E95ECE"/>
    <w:rsid w:val="00E967D1"/>
    <w:rsid w:val="00EA1372"/>
    <w:rsid w:val="00EA7799"/>
    <w:rsid w:val="00F00517"/>
    <w:rsid w:val="00F107A2"/>
    <w:rsid w:val="00F32109"/>
    <w:rsid w:val="00F40C34"/>
    <w:rsid w:val="00F612DC"/>
    <w:rsid w:val="00F81BBA"/>
    <w:rsid w:val="00FE0E3F"/>
    <w:rsid w:val="00FE4851"/>
    <w:rsid w:val="00FE60F3"/>
    <w:rsid w:val="00FF62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1"/>
    <w:pPr>
      <w:spacing w:before="80" w:after="80" w:line="288" w:lineRule="auto"/>
      <w:jc w:val="both"/>
    </w:pPr>
    <w:rPr>
      <w:rFonts w:ascii="Calibri" w:eastAsia="Calibri" w:hAnsi="Calibri" w:cs="Times New Roman"/>
      <w:lang w:val="fr-FR"/>
    </w:rPr>
  </w:style>
  <w:style w:type="paragraph" w:styleId="Titre1">
    <w:name w:val="heading 1"/>
    <w:basedOn w:val="Normal"/>
    <w:next w:val="Normal"/>
    <w:link w:val="Titre1Car"/>
    <w:uiPriority w:val="9"/>
    <w:qFormat/>
    <w:rsid w:val="002F509E"/>
    <w:pPr>
      <w:keepNext/>
      <w:spacing w:before="24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3F29D7"/>
    <w:pPr>
      <w:keepNext/>
      <w:keepLines/>
      <w:spacing w:before="240" w:after="120"/>
      <w:outlineLvl w:val="1"/>
    </w:pPr>
    <w:rPr>
      <w:rFonts w:asciiTheme="majorHAnsi" w:eastAsiaTheme="majorEastAsia" w:hAnsiTheme="majorHAnsi" w:cstheme="majorBidi"/>
      <w:b/>
      <w:bCs/>
      <w:smallCaps/>
      <w:color w:val="4F81BD" w:themeColor="accent1"/>
      <w:sz w:val="26"/>
      <w:szCs w:val="26"/>
    </w:rPr>
  </w:style>
  <w:style w:type="paragraph" w:styleId="Titre3">
    <w:name w:val="heading 3"/>
    <w:basedOn w:val="Normal"/>
    <w:next w:val="Normal"/>
    <w:link w:val="Titre3Car"/>
    <w:uiPriority w:val="9"/>
    <w:semiHidden/>
    <w:unhideWhenUsed/>
    <w:qFormat/>
    <w:rsid w:val="00492A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509E"/>
    <w:rPr>
      <w:rFonts w:ascii="Cambria" w:eastAsia="Times New Roman" w:hAnsi="Cambria" w:cs="Times New Roman"/>
      <w:b/>
      <w:bCs/>
      <w:kern w:val="32"/>
      <w:sz w:val="32"/>
      <w:szCs w:val="32"/>
      <w:lang w:val="fr-FR"/>
    </w:rPr>
  </w:style>
  <w:style w:type="paragraph" w:styleId="Paragraphedeliste">
    <w:name w:val="List Paragraph"/>
    <w:basedOn w:val="Normal"/>
    <w:link w:val="ParagraphedelisteCar"/>
    <w:uiPriority w:val="34"/>
    <w:qFormat/>
    <w:rsid w:val="002F509E"/>
    <w:pPr>
      <w:ind w:left="720"/>
      <w:contextualSpacing/>
    </w:pPr>
  </w:style>
  <w:style w:type="character" w:customStyle="1" w:styleId="Titre2Car">
    <w:name w:val="Titre 2 Car"/>
    <w:basedOn w:val="Policepardfaut"/>
    <w:link w:val="Titre2"/>
    <w:uiPriority w:val="9"/>
    <w:rsid w:val="003F29D7"/>
    <w:rPr>
      <w:rFonts w:asciiTheme="majorHAnsi" w:eastAsiaTheme="majorEastAsia" w:hAnsiTheme="majorHAnsi" w:cstheme="majorBidi"/>
      <w:b/>
      <w:bCs/>
      <w:smallCaps/>
      <w:color w:val="4F81BD" w:themeColor="accent1"/>
      <w:sz w:val="26"/>
      <w:szCs w:val="26"/>
      <w:lang w:val="fr-FR"/>
    </w:rPr>
  </w:style>
  <w:style w:type="paragraph" w:styleId="Notedebasdepage">
    <w:name w:val="footnote text"/>
    <w:basedOn w:val="Normal"/>
    <w:link w:val="NotedebasdepageCar"/>
    <w:uiPriority w:val="99"/>
    <w:semiHidden/>
    <w:unhideWhenUsed/>
    <w:rsid w:val="00660E86"/>
    <w:pPr>
      <w:spacing w:before="0"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uiPriority w:val="99"/>
    <w:semiHidden/>
    <w:rsid w:val="00660E86"/>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660E86"/>
    <w:rPr>
      <w:vertAlign w:val="superscript"/>
    </w:rPr>
  </w:style>
  <w:style w:type="character" w:customStyle="1" w:styleId="ParagraphedelisteCar">
    <w:name w:val="Paragraphe de liste Car"/>
    <w:basedOn w:val="Policepardfaut"/>
    <w:link w:val="Paragraphedeliste"/>
    <w:uiPriority w:val="34"/>
    <w:locked/>
    <w:rsid w:val="002E3D31"/>
    <w:rPr>
      <w:rFonts w:ascii="Calibri" w:eastAsia="Calibri" w:hAnsi="Calibri" w:cs="Times New Roman"/>
      <w:sz w:val="24"/>
      <w:lang w:val="fr-FR"/>
    </w:rPr>
  </w:style>
  <w:style w:type="character" w:customStyle="1" w:styleId="Titre3Car">
    <w:name w:val="Titre 3 Car"/>
    <w:basedOn w:val="Policepardfaut"/>
    <w:link w:val="Titre3"/>
    <w:uiPriority w:val="9"/>
    <w:semiHidden/>
    <w:rsid w:val="00492ADB"/>
    <w:rPr>
      <w:rFonts w:asciiTheme="majorHAnsi" w:eastAsiaTheme="majorEastAsia" w:hAnsiTheme="majorHAnsi" w:cstheme="majorBidi"/>
      <w:b/>
      <w:bCs/>
      <w:color w:val="4F81BD" w:themeColor="accent1"/>
      <w:sz w:val="24"/>
      <w:lang w:val="fr-FR"/>
    </w:rPr>
  </w:style>
  <w:style w:type="paragraph" w:styleId="En-tte">
    <w:name w:val="header"/>
    <w:basedOn w:val="Normal"/>
    <w:link w:val="En-tteCar"/>
    <w:uiPriority w:val="99"/>
    <w:semiHidden/>
    <w:unhideWhenUsed/>
    <w:rsid w:val="00B941C0"/>
    <w:pPr>
      <w:tabs>
        <w:tab w:val="center" w:pos="4536"/>
        <w:tab w:val="right" w:pos="9072"/>
      </w:tabs>
      <w:spacing w:before="0" w:after="0" w:line="240" w:lineRule="auto"/>
    </w:pPr>
  </w:style>
  <w:style w:type="character" w:customStyle="1" w:styleId="En-tteCar">
    <w:name w:val="En-tête Car"/>
    <w:basedOn w:val="Policepardfaut"/>
    <w:link w:val="En-tte"/>
    <w:uiPriority w:val="99"/>
    <w:semiHidden/>
    <w:rsid w:val="00B941C0"/>
    <w:rPr>
      <w:rFonts w:ascii="Calibri" w:eastAsia="Calibri" w:hAnsi="Calibri" w:cs="Times New Roman"/>
      <w:sz w:val="24"/>
      <w:lang w:val="fr-FR"/>
    </w:rPr>
  </w:style>
  <w:style w:type="paragraph" w:styleId="Pieddepage">
    <w:name w:val="footer"/>
    <w:basedOn w:val="Normal"/>
    <w:link w:val="PieddepageCar"/>
    <w:uiPriority w:val="99"/>
    <w:unhideWhenUsed/>
    <w:rsid w:val="00B941C0"/>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B941C0"/>
    <w:rPr>
      <w:rFonts w:ascii="Calibri" w:eastAsia="Calibri" w:hAnsi="Calibri" w:cs="Times New Roman"/>
      <w:sz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1"/>
    <w:pPr>
      <w:spacing w:before="80" w:after="80" w:line="288" w:lineRule="auto"/>
      <w:jc w:val="both"/>
    </w:pPr>
    <w:rPr>
      <w:rFonts w:ascii="Calibri" w:eastAsia="Calibri" w:hAnsi="Calibri" w:cs="Times New Roman"/>
      <w:lang w:val="fr-FR"/>
    </w:rPr>
  </w:style>
  <w:style w:type="paragraph" w:styleId="Titre1">
    <w:name w:val="heading 1"/>
    <w:basedOn w:val="Normal"/>
    <w:next w:val="Normal"/>
    <w:link w:val="Titre1Car"/>
    <w:uiPriority w:val="9"/>
    <w:qFormat/>
    <w:rsid w:val="002F509E"/>
    <w:pPr>
      <w:keepNext/>
      <w:spacing w:before="24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3F29D7"/>
    <w:pPr>
      <w:keepNext/>
      <w:keepLines/>
      <w:spacing w:before="240" w:after="120"/>
      <w:outlineLvl w:val="1"/>
    </w:pPr>
    <w:rPr>
      <w:rFonts w:asciiTheme="majorHAnsi" w:eastAsiaTheme="majorEastAsia" w:hAnsiTheme="majorHAnsi" w:cstheme="majorBidi"/>
      <w:b/>
      <w:bCs/>
      <w:smallCaps/>
      <w:color w:val="4F81BD" w:themeColor="accent1"/>
      <w:sz w:val="26"/>
      <w:szCs w:val="26"/>
    </w:rPr>
  </w:style>
  <w:style w:type="paragraph" w:styleId="Titre3">
    <w:name w:val="heading 3"/>
    <w:basedOn w:val="Normal"/>
    <w:next w:val="Normal"/>
    <w:link w:val="Titre3Car"/>
    <w:uiPriority w:val="9"/>
    <w:semiHidden/>
    <w:unhideWhenUsed/>
    <w:qFormat/>
    <w:rsid w:val="00492A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509E"/>
    <w:rPr>
      <w:rFonts w:ascii="Cambria" w:eastAsia="Times New Roman" w:hAnsi="Cambria" w:cs="Times New Roman"/>
      <w:b/>
      <w:bCs/>
      <w:kern w:val="32"/>
      <w:sz w:val="32"/>
      <w:szCs w:val="32"/>
      <w:lang w:val="fr-FR"/>
    </w:rPr>
  </w:style>
  <w:style w:type="paragraph" w:styleId="Paragraphedeliste">
    <w:name w:val="List Paragraph"/>
    <w:basedOn w:val="Normal"/>
    <w:link w:val="ParagraphedelisteCar"/>
    <w:uiPriority w:val="34"/>
    <w:qFormat/>
    <w:rsid w:val="002F509E"/>
    <w:pPr>
      <w:ind w:left="720"/>
      <w:contextualSpacing/>
    </w:pPr>
  </w:style>
  <w:style w:type="character" w:customStyle="1" w:styleId="Titre2Car">
    <w:name w:val="Titre 2 Car"/>
    <w:basedOn w:val="Policepardfaut"/>
    <w:link w:val="Titre2"/>
    <w:uiPriority w:val="9"/>
    <w:rsid w:val="003F29D7"/>
    <w:rPr>
      <w:rFonts w:asciiTheme="majorHAnsi" w:eastAsiaTheme="majorEastAsia" w:hAnsiTheme="majorHAnsi" w:cstheme="majorBidi"/>
      <w:b/>
      <w:bCs/>
      <w:smallCaps/>
      <w:color w:val="4F81BD" w:themeColor="accent1"/>
      <w:sz w:val="26"/>
      <w:szCs w:val="26"/>
      <w:lang w:val="fr-FR"/>
    </w:rPr>
  </w:style>
  <w:style w:type="paragraph" w:styleId="Notedebasdepage">
    <w:name w:val="footnote text"/>
    <w:basedOn w:val="Normal"/>
    <w:link w:val="NotedebasdepageCar"/>
    <w:uiPriority w:val="99"/>
    <w:semiHidden/>
    <w:unhideWhenUsed/>
    <w:rsid w:val="00660E86"/>
    <w:pPr>
      <w:spacing w:before="0" w:after="0" w:line="240" w:lineRule="auto"/>
    </w:pPr>
    <w:rPr>
      <w:rFonts w:ascii="Times New Roman" w:eastAsia="Times New Roman" w:hAnsi="Times New Roman"/>
      <w:sz w:val="20"/>
      <w:szCs w:val="20"/>
      <w:lang w:eastAsia="fr-FR"/>
    </w:rPr>
  </w:style>
  <w:style w:type="character" w:customStyle="1" w:styleId="NotedebasdepageCar">
    <w:name w:val="Note de bas de page Car"/>
    <w:basedOn w:val="Policepardfaut"/>
    <w:link w:val="Notedebasdepage"/>
    <w:uiPriority w:val="99"/>
    <w:semiHidden/>
    <w:rsid w:val="00660E86"/>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660E86"/>
    <w:rPr>
      <w:vertAlign w:val="superscript"/>
    </w:rPr>
  </w:style>
  <w:style w:type="character" w:customStyle="1" w:styleId="ParagraphedelisteCar">
    <w:name w:val="Paragraphe de liste Car"/>
    <w:basedOn w:val="Policepardfaut"/>
    <w:link w:val="Paragraphedeliste"/>
    <w:uiPriority w:val="34"/>
    <w:locked/>
    <w:rsid w:val="002E3D31"/>
    <w:rPr>
      <w:rFonts w:ascii="Calibri" w:eastAsia="Calibri" w:hAnsi="Calibri" w:cs="Times New Roman"/>
      <w:sz w:val="24"/>
      <w:lang w:val="fr-FR"/>
    </w:rPr>
  </w:style>
  <w:style w:type="character" w:customStyle="1" w:styleId="Titre3Car">
    <w:name w:val="Titre 3 Car"/>
    <w:basedOn w:val="Policepardfaut"/>
    <w:link w:val="Titre3"/>
    <w:uiPriority w:val="9"/>
    <w:semiHidden/>
    <w:rsid w:val="00492ADB"/>
    <w:rPr>
      <w:rFonts w:asciiTheme="majorHAnsi" w:eastAsiaTheme="majorEastAsia" w:hAnsiTheme="majorHAnsi" w:cstheme="majorBidi"/>
      <w:b/>
      <w:bCs/>
      <w:color w:val="4F81BD" w:themeColor="accent1"/>
      <w:sz w:val="24"/>
      <w:lang w:val="fr-FR"/>
    </w:rPr>
  </w:style>
  <w:style w:type="paragraph" w:styleId="En-tte">
    <w:name w:val="header"/>
    <w:basedOn w:val="Normal"/>
    <w:link w:val="En-tteCar"/>
    <w:uiPriority w:val="99"/>
    <w:semiHidden/>
    <w:unhideWhenUsed/>
    <w:rsid w:val="00B941C0"/>
    <w:pPr>
      <w:tabs>
        <w:tab w:val="center" w:pos="4536"/>
        <w:tab w:val="right" w:pos="9072"/>
      </w:tabs>
      <w:spacing w:before="0" w:after="0" w:line="240" w:lineRule="auto"/>
    </w:pPr>
  </w:style>
  <w:style w:type="character" w:customStyle="1" w:styleId="En-tteCar">
    <w:name w:val="En-tête Car"/>
    <w:basedOn w:val="Policepardfaut"/>
    <w:link w:val="En-tte"/>
    <w:uiPriority w:val="99"/>
    <w:semiHidden/>
    <w:rsid w:val="00B941C0"/>
    <w:rPr>
      <w:rFonts w:ascii="Calibri" w:eastAsia="Calibri" w:hAnsi="Calibri" w:cs="Times New Roman"/>
      <w:sz w:val="24"/>
      <w:lang w:val="fr-FR"/>
    </w:rPr>
  </w:style>
  <w:style w:type="paragraph" w:styleId="Pieddepage">
    <w:name w:val="footer"/>
    <w:basedOn w:val="Normal"/>
    <w:link w:val="PieddepageCar"/>
    <w:uiPriority w:val="99"/>
    <w:unhideWhenUsed/>
    <w:rsid w:val="00B941C0"/>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B941C0"/>
    <w:rPr>
      <w:rFonts w:ascii="Calibri" w:eastAsia="Calibri" w:hAnsi="Calibri" w:cs="Times New Roman"/>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22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2559</Words>
  <Characters>14077</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PAEX1</dc:creator>
  <cp:lastModifiedBy>Galbert</cp:lastModifiedBy>
  <cp:revision>8</cp:revision>
  <cp:lastPrinted>2012-04-04T13:29:00Z</cp:lastPrinted>
  <dcterms:created xsi:type="dcterms:W3CDTF">2013-08-16T10:17:00Z</dcterms:created>
  <dcterms:modified xsi:type="dcterms:W3CDTF">2013-08-16T11:18:00Z</dcterms:modified>
</cp:coreProperties>
</file>